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77" w:rsidRDefault="00144477" w:rsidP="00602E5C">
      <w:pPr>
        <w:tabs>
          <w:tab w:val="left" w:pos="3690"/>
        </w:tabs>
        <w:rPr>
          <w:rFonts w:ascii="Verdana" w:hAnsi="Verdana" w:cs="Verdana"/>
          <w:b/>
          <w:bCs/>
        </w:rPr>
      </w:pPr>
    </w:p>
    <w:p w:rsidR="00144477" w:rsidRDefault="00144477" w:rsidP="00602E5C">
      <w:pPr>
        <w:tabs>
          <w:tab w:val="left" w:pos="3690"/>
        </w:tabs>
        <w:rPr>
          <w:rFonts w:ascii="Verdana" w:hAnsi="Verdana" w:cs="Verdana"/>
          <w:b/>
          <w:bCs/>
        </w:rPr>
      </w:pPr>
    </w:p>
    <w:p w:rsidR="00144477" w:rsidRDefault="00144477" w:rsidP="00474CF8">
      <w:pPr>
        <w:pStyle w:val="BodyText"/>
        <w:spacing w:after="0"/>
        <w:ind w:left="-11"/>
        <w:rPr>
          <w:b/>
          <w:bCs/>
          <w:color w:val="FFCC00"/>
          <w:sz w:val="32"/>
          <w:szCs w:val="32"/>
        </w:rPr>
      </w:pPr>
      <w:r w:rsidRPr="00F6681D">
        <w:rPr>
          <w:b/>
          <w:bCs/>
          <w:color w:val="FFCC00"/>
          <w:sz w:val="32"/>
          <w:szCs w:val="32"/>
        </w:rPr>
        <w:t>UNTERWEISUNG NADELSTICH</w:t>
      </w:r>
    </w:p>
    <w:p w:rsidR="00144477" w:rsidRPr="00F6681D" w:rsidRDefault="00144477" w:rsidP="00474CF8">
      <w:pPr>
        <w:pStyle w:val="BodyText"/>
        <w:spacing w:after="0"/>
        <w:ind w:left="-11"/>
        <w:rPr>
          <w:b/>
          <w:bCs/>
          <w:color w:val="FFCC00"/>
          <w:sz w:val="32"/>
          <w:szCs w:val="32"/>
        </w:rPr>
      </w:pPr>
    </w:p>
    <w:p w:rsidR="00144477" w:rsidRPr="00F6681D" w:rsidRDefault="00144477" w:rsidP="00474CF8">
      <w:pPr>
        <w:jc w:val="both"/>
        <w:rPr>
          <w:rFonts w:ascii="Verdana" w:hAnsi="Verdana" w:cs="Verdana"/>
          <w:color w:val="1C1C1C"/>
          <w:sz w:val="22"/>
          <w:szCs w:val="22"/>
        </w:rPr>
      </w:pPr>
      <w:r>
        <w:rPr>
          <w:rFonts w:ascii="Verdana" w:hAnsi="Verdana" w:cs="Verdana"/>
          <w:color w:val="1C1C1C"/>
          <w:sz w:val="22"/>
          <w:szCs w:val="22"/>
        </w:rPr>
        <w:t>Leider kommt es immer wieder zu</w:t>
      </w:r>
      <w:r w:rsidRPr="00F6681D">
        <w:rPr>
          <w:rFonts w:ascii="Verdana" w:hAnsi="Verdana" w:cs="Verdana"/>
          <w:color w:val="1C1C1C"/>
          <w:sz w:val="22"/>
          <w:szCs w:val="22"/>
        </w:rPr>
        <w:t xml:space="preserve"> Stichverletzung</w:t>
      </w:r>
      <w:r>
        <w:rPr>
          <w:rFonts w:ascii="Verdana" w:hAnsi="Verdana" w:cs="Verdana"/>
          <w:color w:val="1C1C1C"/>
          <w:sz w:val="22"/>
          <w:szCs w:val="22"/>
        </w:rPr>
        <w:t>en.</w:t>
      </w:r>
      <w:r w:rsidRPr="00F6681D">
        <w:rPr>
          <w:rFonts w:ascii="Verdana" w:hAnsi="Verdana" w:cs="Verdana"/>
          <w:color w:val="1C1C1C"/>
          <w:sz w:val="22"/>
          <w:szCs w:val="22"/>
        </w:rPr>
        <w:t xml:space="preserve"> Hier eine kurze Auffrischung über das richtige Vorgehen bezüglich Nadeln und darunter dann eine Regelung über die Vorgehensweise, sollte es doch zu einem Stich kommen:</w:t>
      </w:r>
    </w:p>
    <w:p w:rsidR="00144477" w:rsidRPr="00A93692" w:rsidRDefault="00144477" w:rsidP="00474CF8">
      <w:pPr>
        <w:rPr>
          <w:rFonts w:ascii="Verdana" w:hAnsi="Verdana" w:cs="Verdana"/>
          <w:sz w:val="22"/>
          <w:szCs w:val="22"/>
        </w:rPr>
      </w:pPr>
    </w:p>
    <w:p w:rsidR="00144477" w:rsidRDefault="00144477" w:rsidP="00474CF8">
      <w:pPr>
        <w:rPr>
          <w:rFonts w:ascii="Verdana" w:hAnsi="Verdana" w:cs="Verdana"/>
          <w:sz w:val="22"/>
          <w:szCs w:val="22"/>
        </w:rPr>
      </w:pPr>
      <w:r w:rsidRPr="006453F6">
        <w:rPr>
          <w:rFonts w:ascii="Verdana" w:hAnsi="Verdana" w:cs="Verdana"/>
          <w:noProof/>
          <w:sz w:val="22"/>
          <w:szCs w:val="22"/>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i1025" type="#_x0000_t75" style="width:450.75pt;height:253.5pt;visibility:visible">
            <v:imagedata r:id="rId7" o:title=""/>
          </v:shape>
        </w:pict>
      </w:r>
    </w:p>
    <w:p w:rsidR="00144477" w:rsidRPr="00A93692" w:rsidRDefault="00144477" w:rsidP="00474CF8">
      <w:pPr>
        <w:rPr>
          <w:rFonts w:ascii="Verdana" w:hAnsi="Verdana" w:cs="Verdana"/>
          <w:sz w:val="22"/>
          <w:szCs w:val="22"/>
        </w:rPr>
      </w:pPr>
    </w:p>
    <w:p w:rsidR="00144477" w:rsidRPr="00A93692" w:rsidRDefault="00144477" w:rsidP="00474CF8">
      <w:pPr>
        <w:rPr>
          <w:rFonts w:ascii="Verdana" w:hAnsi="Verdana" w:cs="Verdana"/>
          <w:sz w:val="22"/>
          <w:szCs w:val="22"/>
        </w:rPr>
      </w:pPr>
    </w:p>
    <w:p w:rsidR="00144477" w:rsidRPr="00A93692" w:rsidRDefault="00144477" w:rsidP="00474CF8">
      <w:pPr>
        <w:rPr>
          <w:rFonts w:ascii="Verdana" w:hAnsi="Verdana" w:cs="Verdana"/>
          <w:sz w:val="22"/>
          <w:szCs w:val="22"/>
        </w:rPr>
      </w:pPr>
      <w:r w:rsidRPr="006453F6">
        <w:rPr>
          <w:rFonts w:ascii="Verdana" w:hAnsi="Verdana" w:cs="Verdana"/>
          <w:noProof/>
          <w:sz w:val="22"/>
          <w:szCs w:val="22"/>
          <w:lang w:eastAsia="de-AT"/>
        </w:rPr>
        <w:pict>
          <v:shape id="Grafik 1" o:spid="_x0000_i1026" type="#_x0000_t75" style="width:450.75pt;height:236.25pt;visibility:visible">
            <v:imagedata r:id="rId8" o:title=""/>
          </v:shape>
        </w:pict>
      </w:r>
    </w:p>
    <w:p w:rsidR="00144477" w:rsidRPr="00F6681D" w:rsidRDefault="00144477" w:rsidP="00474CF8">
      <w:pPr>
        <w:rPr>
          <w:rFonts w:ascii="Verdana" w:hAnsi="Verdana" w:cs="Verdana"/>
          <w:b/>
          <w:bCs/>
          <w:color w:val="1C1C1C"/>
          <w:sz w:val="22"/>
          <w:szCs w:val="22"/>
        </w:rPr>
      </w:pPr>
      <w:r>
        <w:rPr>
          <w:rFonts w:ascii="Verdana" w:hAnsi="Verdana" w:cs="Verdana"/>
          <w:b/>
          <w:bCs/>
          <w:color w:val="1C1C1C"/>
          <w:sz w:val="22"/>
          <w:szCs w:val="22"/>
        </w:rPr>
        <w:t>Insbesondere wird betont</w:t>
      </w:r>
      <w:r w:rsidRPr="00F6681D">
        <w:rPr>
          <w:rFonts w:ascii="Verdana" w:hAnsi="Verdana" w:cs="Verdana"/>
          <w:b/>
          <w:bCs/>
          <w:color w:val="1C1C1C"/>
          <w:sz w:val="22"/>
          <w:szCs w:val="22"/>
        </w:rPr>
        <w:t xml:space="preserve">, dass bereits abgeworfene Nadeln, Impfstoffe oder Klingen </w:t>
      </w:r>
      <w:r w:rsidRPr="0060105C">
        <w:rPr>
          <w:rFonts w:ascii="Verdana" w:hAnsi="Verdana" w:cs="Verdana"/>
          <w:b/>
          <w:bCs/>
          <w:color w:val="1C1C1C"/>
          <w:sz w:val="22"/>
          <w:szCs w:val="22"/>
          <w:u w:val="single"/>
        </w:rPr>
        <w:t>niemals</w:t>
      </w:r>
      <w:r w:rsidRPr="00F6681D">
        <w:rPr>
          <w:rFonts w:ascii="Verdana" w:hAnsi="Verdana" w:cs="Verdana"/>
          <w:b/>
          <w:bCs/>
          <w:color w:val="1C1C1C"/>
          <w:sz w:val="22"/>
          <w:szCs w:val="22"/>
        </w:rPr>
        <w:t xml:space="preserve"> noch einmal aus dem Nadelabwurfbehälter entnommen werden dürfen.</w:t>
      </w:r>
    </w:p>
    <w:p w:rsidR="00144477" w:rsidRPr="00F6681D" w:rsidRDefault="00144477" w:rsidP="00474CF8">
      <w:pPr>
        <w:rPr>
          <w:rFonts w:ascii="Verdana" w:hAnsi="Verdana" w:cs="Verdana"/>
          <w:color w:val="1C1C1C"/>
          <w:sz w:val="22"/>
          <w:szCs w:val="22"/>
        </w:rPr>
      </w:pPr>
    </w:p>
    <w:p w:rsidR="00144477" w:rsidRDefault="00144477" w:rsidP="00474CF8">
      <w:pPr>
        <w:rPr>
          <w:rFonts w:ascii="Verdana" w:hAnsi="Verdana" w:cs="Verdana"/>
          <w:sz w:val="22"/>
          <w:szCs w:val="22"/>
        </w:rPr>
      </w:pPr>
    </w:p>
    <w:p w:rsidR="00144477" w:rsidRPr="00F6681D" w:rsidRDefault="00144477" w:rsidP="00BF6477">
      <w:pPr>
        <w:jc w:val="both"/>
        <w:rPr>
          <w:rFonts w:ascii="Verdana" w:hAnsi="Verdana" w:cs="Verdana"/>
          <w:color w:val="1C1C1C"/>
          <w:sz w:val="22"/>
          <w:szCs w:val="22"/>
        </w:rPr>
      </w:pPr>
    </w:p>
    <w:p w:rsidR="00144477" w:rsidRPr="006357B2" w:rsidRDefault="00144477" w:rsidP="00BF6477">
      <w:pPr>
        <w:jc w:val="both"/>
        <w:rPr>
          <w:rFonts w:ascii="Verdana" w:hAnsi="Verdana" w:cs="Verdana"/>
          <w:b/>
          <w:bCs/>
          <w:color w:val="1C1C1C"/>
          <w:sz w:val="22"/>
          <w:szCs w:val="22"/>
          <w:u w:val="single"/>
        </w:rPr>
      </w:pPr>
      <w:r w:rsidRPr="006357B2">
        <w:rPr>
          <w:rFonts w:ascii="Verdana" w:hAnsi="Verdana" w:cs="Verdana"/>
          <w:b/>
          <w:bCs/>
          <w:color w:val="1C1C1C"/>
          <w:sz w:val="22"/>
          <w:szCs w:val="22"/>
          <w:u w:val="single"/>
        </w:rPr>
        <w:t>Maßnahmen bei einer Nadelstichverletzung</w:t>
      </w:r>
    </w:p>
    <w:p w:rsidR="00144477" w:rsidRPr="006357B2" w:rsidRDefault="00144477" w:rsidP="00BF6477">
      <w:pPr>
        <w:jc w:val="both"/>
        <w:rPr>
          <w:rFonts w:ascii="Verdana" w:hAnsi="Verdana" w:cs="Verdana"/>
          <w:color w:val="1C1C1C"/>
          <w:sz w:val="22"/>
          <w:szCs w:val="22"/>
          <w:u w:val="single"/>
        </w:rPr>
      </w:pPr>
    </w:p>
    <w:p w:rsidR="00144477" w:rsidRDefault="00144477" w:rsidP="00BF6477">
      <w:pPr>
        <w:jc w:val="both"/>
        <w:rPr>
          <w:rFonts w:ascii="Verdana" w:hAnsi="Verdana" w:cs="Verdana"/>
          <w:color w:val="1C1C1C"/>
          <w:sz w:val="22"/>
          <w:szCs w:val="22"/>
        </w:rPr>
      </w:pPr>
      <w:r>
        <w:rPr>
          <w:rFonts w:ascii="Verdana" w:hAnsi="Verdana" w:cs="Verdana"/>
          <w:color w:val="1C1C1C"/>
          <w:sz w:val="22"/>
          <w:szCs w:val="22"/>
        </w:rPr>
        <w:t>Sofortige Reinigung der Wunde mit Wasser und Seife, anschließende Desinfektion der Einstichstelle. Im Anschluss Vorstellung des/der betroffenen Mitarbeiters/Mitarbeiterin in der Unfallchirurgie/Notfallaufnahme des nächstgelegenen Krankenhauses.</w:t>
      </w:r>
    </w:p>
    <w:p w:rsidR="00144477" w:rsidRDefault="00144477" w:rsidP="00BF6477">
      <w:pPr>
        <w:jc w:val="both"/>
        <w:rPr>
          <w:rFonts w:ascii="Verdana" w:hAnsi="Verdana" w:cs="Verdana"/>
          <w:color w:val="1C1C1C"/>
          <w:sz w:val="22"/>
          <w:szCs w:val="22"/>
        </w:rPr>
      </w:pPr>
    </w:p>
    <w:p w:rsidR="00144477" w:rsidRDefault="00144477" w:rsidP="00BF6477">
      <w:pPr>
        <w:jc w:val="both"/>
        <w:rPr>
          <w:rFonts w:ascii="Verdana" w:hAnsi="Verdana" w:cs="Verdana"/>
          <w:color w:val="1C1C1C"/>
          <w:sz w:val="22"/>
          <w:szCs w:val="22"/>
        </w:rPr>
      </w:pPr>
      <w:r>
        <w:rPr>
          <w:rFonts w:ascii="Verdana" w:hAnsi="Verdana" w:cs="Verdana"/>
          <w:color w:val="1C1C1C"/>
          <w:sz w:val="22"/>
          <w:szCs w:val="22"/>
        </w:rPr>
        <w:t xml:space="preserve">Dort muss nach Abwägen aller Vor- und Nachteile </w:t>
      </w:r>
      <w:r w:rsidRPr="00D43657">
        <w:rPr>
          <w:rFonts w:ascii="Verdana" w:hAnsi="Verdana" w:cs="Verdana"/>
          <w:b/>
          <w:bCs/>
          <w:color w:val="1C1C1C"/>
          <w:sz w:val="22"/>
          <w:szCs w:val="22"/>
        </w:rPr>
        <w:t>eine Entscheidung über eine HIV-PEP (Postexpositionelle Prophylaxe)</w:t>
      </w:r>
      <w:r>
        <w:rPr>
          <w:rFonts w:ascii="Verdana" w:hAnsi="Verdana" w:cs="Verdana"/>
          <w:color w:val="1C1C1C"/>
          <w:sz w:val="22"/>
          <w:szCs w:val="22"/>
        </w:rPr>
        <w:t xml:space="preserve"> getroffen werden. Im Zweifelsfall Kontaktaufnahme mit dem Otto-Wagner-Spital Wien, Immunambulanz/2. Interne Abteilung, Tel. </w:t>
      </w:r>
      <w:r w:rsidRPr="006357B2">
        <w:rPr>
          <w:rFonts w:ascii="Verdana" w:hAnsi="Verdana" w:cs="Verdana"/>
          <w:color w:val="1C1C1C"/>
          <w:sz w:val="22"/>
          <w:szCs w:val="22"/>
          <w:u w:val="single"/>
        </w:rPr>
        <w:t>01/91060/42710</w:t>
      </w:r>
      <w:r>
        <w:rPr>
          <w:rFonts w:ascii="Verdana" w:hAnsi="Verdana" w:cs="Verdana"/>
          <w:color w:val="1C1C1C"/>
          <w:sz w:val="22"/>
          <w:szCs w:val="22"/>
        </w:rPr>
        <w:t xml:space="preserve"> oder AKH Wien, Abteilung für Immundermatologie, Tel. </w:t>
      </w:r>
      <w:r w:rsidRPr="006357B2">
        <w:rPr>
          <w:rFonts w:ascii="Verdana" w:hAnsi="Verdana" w:cs="Verdana"/>
          <w:color w:val="1C1C1C"/>
          <w:sz w:val="22"/>
          <w:szCs w:val="22"/>
          <w:u w:val="single"/>
        </w:rPr>
        <w:t>01/40400-4242</w:t>
      </w:r>
      <w:r>
        <w:rPr>
          <w:rFonts w:ascii="Verdana" w:hAnsi="Verdana" w:cs="Verdana"/>
          <w:color w:val="1C1C1C"/>
          <w:sz w:val="22"/>
          <w:szCs w:val="22"/>
        </w:rPr>
        <w:t>.</w:t>
      </w:r>
    </w:p>
    <w:p w:rsidR="00144477" w:rsidRDefault="00144477" w:rsidP="00BF6477">
      <w:pPr>
        <w:jc w:val="both"/>
        <w:rPr>
          <w:rFonts w:ascii="Verdana" w:hAnsi="Verdana" w:cs="Verdana"/>
          <w:color w:val="1C1C1C"/>
          <w:sz w:val="22"/>
          <w:szCs w:val="22"/>
        </w:rPr>
      </w:pPr>
    </w:p>
    <w:p w:rsidR="00144477" w:rsidRDefault="00144477" w:rsidP="00BF6477">
      <w:pPr>
        <w:jc w:val="both"/>
        <w:rPr>
          <w:rFonts w:ascii="Verdana" w:hAnsi="Verdana" w:cs="Verdana"/>
          <w:color w:val="1C1C1C"/>
          <w:sz w:val="22"/>
          <w:szCs w:val="22"/>
        </w:rPr>
      </w:pPr>
      <w:r>
        <w:rPr>
          <w:rFonts w:ascii="Verdana" w:hAnsi="Verdana" w:cs="Verdana"/>
          <w:color w:val="1C1C1C"/>
          <w:sz w:val="22"/>
          <w:szCs w:val="22"/>
        </w:rPr>
        <w:t>Im Krankenhaus wird i</w:t>
      </w:r>
      <w:r w:rsidRPr="00F6681D">
        <w:rPr>
          <w:rFonts w:ascii="Verdana" w:hAnsi="Verdana" w:cs="Verdana"/>
          <w:color w:val="1C1C1C"/>
          <w:sz w:val="22"/>
          <w:szCs w:val="22"/>
        </w:rPr>
        <w:t>nnerhalb von</w:t>
      </w:r>
      <w:r>
        <w:rPr>
          <w:rFonts w:ascii="Verdana" w:hAnsi="Verdana" w:cs="Verdana"/>
          <w:color w:val="1C1C1C"/>
          <w:sz w:val="22"/>
          <w:szCs w:val="22"/>
        </w:rPr>
        <w:t xml:space="preserve"> längstens 24 Stunden </w:t>
      </w:r>
      <w:r w:rsidRPr="00F6681D">
        <w:rPr>
          <w:rFonts w:ascii="Verdana" w:hAnsi="Verdana" w:cs="Verdana"/>
          <w:color w:val="1C1C1C"/>
          <w:sz w:val="22"/>
          <w:szCs w:val="22"/>
        </w:rPr>
        <w:t xml:space="preserve">eine </w:t>
      </w:r>
      <w:r w:rsidRPr="00F6681D">
        <w:rPr>
          <w:rFonts w:ascii="Verdana" w:hAnsi="Verdana" w:cs="Verdana"/>
          <w:b/>
          <w:bCs/>
          <w:color w:val="1C1C1C"/>
          <w:sz w:val="22"/>
          <w:szCs w:val="22"/>
        </w:rPr>
        <w:t>Bestimmung</w:t>
      </w:r>
      <w:r w:rsidRPr="00F6681D">
        <w:rPr>
          <w:rFonts w:ascii="Verdana" w:hAnsi="Verdana" w:cs="Verdana"/>
          <w:color w:val="1C1C1C"/>
          <w:sz w:val="22"/>
          <w:szCs w:val="22"/>
        </w:rPr>
        <w:t xml:space="preserve"> von:</w:t>
      </w:r>
    </w:p>
    <w:p w:rsidR="00144477" w:rsidRPr="00F6681D" w:rsidRDefault="00144477" w:rsidP="00BF6477">
      <w:pPr>
        <w:jc w:val="both"/>
        <w:rPr>
          <w:rFonts w:ascii="Verdana" w:hAnsi="Verdana" w:cs="Verdana"/>
          <w:color w:val="1C1C1C"/>
          <w:sz w:val="22"/>
          <w:szCs w:val="22"/>
        </w:rPr>
      </w:pPr>
    </w:p>
    <w:p w:rsidR="00144477" w:rsidRPr="00F6681D" w:rsidRDefault="00144477" w:rsidP="00BF6477">
      <w:pPr>
        <w:numPr>
          <w:ilvl w:val="0"/>
          <w:numId w:val="3"/>
        </w:numPr>
        <w:jc w:val="both"/>
        <w:rPr>
          <w:rFonts w:ascii="Verdana" w:hAnsi="Verdana" w:cs="Verdana"/>
          <w:color w:val="1C1C1C"/>
          <w:sz w:val="22"/>
          <w:szCs w:val="22"/>
        </w:rPr>
      </w:pPr>
      <w:r w:rsidRPr="00F6681D">
        <w:rPr>
          <w:rFonts w:ascii="Verdana" w:hAnsi="Verdana" w:cs="Verdana"/>
          <w:color w:val="1C1C1C"/>
          <w:sz w:val="22"/>
          <w:szCs w:val="22"/>
        </w:rPr>
        <w:t>LFP</w:t>
      </w:r>
    </w:p>
    <w:p w:rsidR="00144477" w:rsidRPr="00F6681D" w:rsidRDefault="00144477" w:rsidP="00BF6477">
      <w:pPr>
        <w:numPr>
          <w:ilvl w:val="0"/>
          <w:numId w:val="3"/>
        </w:numPr>
        <w:jc w:val="both"/>
        <w:rPr>
          <w:rFonts w:ascii="Verdana" w:hAnsi="Verdana" w:cs="Verdana"/>
          <w:color w:val="1C1C1C"/>
          <w:sz w:val="22"/>
          <w:szCs w:val="22"/>
        </w:rPr>
      </w:pPr>
      <w:r w:rsidRPr="00F6681D">
        <w:rPr>
          <w:rFonts w:ascii="Verdana" w:hAnsi="Verdana" w:cs="Verdana"/>
          <w:color w:val="1C1C1C"/>
          <w:sz w:val="22"/>
          <w:szCs w:val="22"/>
        </w:rPr>
        <w:t>HIV Serologie</w:t>
      </w:r>
    </w:p>
    <w:p w:rsidR="00144477" w:rsidRPr="00F6681D" w:rsidRDefault="00144477" w:rsidP="00BF6477">
      <w:pPr>
        <w:numPr>
          <w:ilvl w:val="0"/>
          <w:numId w:val="3"/>
        </w:numPr>
        <w:jc w:val="both"/>
        <w:rPr>
          <w:rFonts w:ascii="Verdana" w:hAnsi="Verdana" w:cs="Verdana"/>
          <w:color w:val="1C1C1C"/>
          <w:sz w:val="22"/>
          <w:szCs w:val="22"/>
        </w:rPr>
      </w:pPr>
      <w:r w:rsidRPr="00F6681D">
        <w:rPr>
          <w:rFonts w:ascii="Verdana" w:hAnsi="Verdana" w:cs="Verdana"/>
          <w:color w:val="1C1C1C"/>
          <w:sz w:val="22"/>
          <w:szCs w:val="22"/>
        </w:rPr>
        <w:t>Hep C Serologie</w:t>
      </w:r>
    </w:p>
    <w:p w:rsidR="00144477" w:rsidRDefault="00144477" w:rsidP="00BF6477">
      <w:pPr>
        <w:numPr>
          <w:ilvl w:val="0"/>
          <w:numId w:val="3"/>
        </w:numPr>
        <w:jc w:val="both"/>
        <w:rPr>
          <w:rFonts w:ascii="Verdana" w:hAnsi="Verdana" w:cs="Verdana"/>
          <w:color w:val="1C1C1C"/>
          <w:sz w:val="22"/>
          <w:szCs w:val="22"/>
        </w:rPr>
      </w:pPr>
      <w:r>
        <w:rPr>
          <w:rFonts w:ascii="Verdana" w:hAnsi="Verdana" w:cs="Verdana"/>
          <w:color w:val="1C1C1C"/>
          <w:sz w:val="22"/>
          <w:szCs w:val="22"/>
        </w:rPr>
        <w:t>ev. HBs AK Titer (wenn nicht bereits vorliegend</w:t>
      </w:r>
      <w:r w:rsidRPr="00F6681D">
        <w:rPr>
          <w:rFonts w:ascii="Verdana" w:hAnsi="Verdana" w:cs="Verdana"/>
          <w:color w:val="1C1C1C"/>
          <w:sz w:val="22"/>
          <w:szCs w:val="22"/>
        </w:rPr>
        <w:t>)</w:t>
      </w:r>
    </w:p>
    <w:p w:rsidR="00144477" w:rsidRPr="00F6681D" w:rsidRDefault="00144477" w:rsidP="00BF6477">
      <w:pPr>
        <w:ind w:left="720"/>
        <w:jc w:val="both"/>
        <w:rPr>
          <w:rFonts w:ascii="Verdana" w:hAnsi="Verdana" w:cs="Verdana"/>
          <w:color w:val="1C1C1C"/>
          <w:sz w:val="22"/>
          <w:szCs w:val="22"/>
        </w:rPr>
      </w:pPr>
    </w:p>
    <w:p w:rsidR="00144477" w:rsidRDefault="00144477" w:rsidP="00BF6477">
      <w:pPr>
        <w:jc w:val="both"/>
        <w:rPr>
          <w:rFonts w:ascii="Verdana" w:hAnsi="Verdana" w:cs="Verdana"/>
          <w:color w:val="1C1C1C"/>
          <w:sz w:val="22"/>
          <w:szCs w:val="22"/>
        </w:rPr>
      </w:pPr>
      <w:r>
        <w:rPr>
          <w:rFonts w:ascii="Verdana" w:hAnsi="Verdana" w:cs="Verdana"/>
          <w:color w:val="1C1C1C"/>
          <w:sz w:val="22"/>
          <w:szCs w:val="22"/>
        </w:rPr>
        <w:t>durchgeführt</w:t>
      </w:r>
      <w:r w:rsidRPr="00F6681D">
        <w:rPr>
          <w:rFonts w:ascii="Verdana" w:hAnsi="Verdana" w:cs="Verdana"/>
          <w:color w:val="1C1C1C"/>
          <w:sz w:val="22"/>
          <w:szCs w:val="22"/>
        </w:rPr>
        <w:t>, damit man später nachweisen kann, dass zum Zeitpunkt des Stichs keine dieser Infektionen vorlag.</w:t>
      </w:r>
    </w:p>
    <w:p w:rsidR="00144477" w:rsidRDefault="00144477" w:rsidP="00BF6477">
      <w:pPr>
        <w:jc w:val="both"/>
        <w:rPr>
          <w:rFonts w:ascii="Verdana" w:hAnsi="Verdana" w:cs="Verdana"/>
          <w:color w:val="1C1C1C"/>
          <w:sz w:val="22"/>
          <w:szCs w:val="22"/>
        </w:rPr>
      </w:pPr>
    </w:p>
    <w:p w:rsidR="00144477" w:rsidRDefault="00144477" w:rsidP="00BF6477">
      <w:pPr>
        <w:jc w:val="both"/>
        <w:rPr>
          <w:rFonts w:ascii="Verdana" w:hAnsi="Verdana" w:cs="Verdana"/>
          <w:color w:val="1C1C1C"/>
          <w:sz w:val="22"/>
          <w:szCs w:val="22"/>
        </w:rPr>
      </w:pPr>
    </w:p>
    <w:p w:rsidR="00144477" w:rsidRPr="00D43657" w:rsidRDefault="00144477" w:rsidP="00BF6477">
      <w:pPr>
        <w:jc w:val="both"/>
        <w:rPr>
          <w:rFonts w:ascii="Verdana" w:hAnsi="Verdana" w:cs="Verdana"/>
          <w:b/>
          <w:bCs/>
          <w:color w:val="1C1C1C"/>
          <w:sz w:val="22"/>
          <w:szCs w:val="22"/>
        </w:rPr>
      </w:pPr>
      <w:r w:rsidRPr="00D43657">
        <w:rPr>
          <w:rFonts w:ascii="Verdana" w:hAnsi="Verdana" w:cs="Verdana"/>
          <w:b/>
          <w:bCs/>
          <w:color w:val="1C1C1C"/>
          <w:sz w:val="22"/>
          <w:szCs w:val="22"/>
        </w:rPr>
        <w:t>Vorgehen bei Verdacht auf Hepatitis B Infektion Stand 2013:</w:t>
      </w:r>
    </w:p>
    <w:p w:rsidR="00144477" w:rsidRPr="00F6681D" w:rsidRDefault="00144477" w:rsidP="00BF6477">
      <w:pPr>
        <w:ind w:left="360"/>
        <w:jc w:val="both"/>
        <w:rPr>
          <w:rFonts w:ascii="Verdana" w:hAnsi="Verdana" w:cs="Verdana"/>
          <w:color w:val="1C1C1C"/>
          <w:sz w:val="22"/>
          <w:szCs w:val="22"/>
        </w:rPr>
      </w:pPr>
    </w:p>
    <w:p w:rsidR="00144477" w:rsidRPr="00F6681D" w:rsidRDefault="00144477" w:rsidP="00BF6477">
      <w:pPr>
        <w:numPr>
          <w:ilvl w:val="0"/>
          <w:numId w:val="4"/>
        </w:numPr>
        <w:jc w:val="both"/>
        <w:rPr>
          <w:rFonts w:ascii="Verdana" w:hAnsi="Verdana" w:cs="Verdana"/>
          <w:color w:val="1C1C1C"/>
          <w:sz w:val="22"/>
          <w:szCs w:val="22"/>
        </w:rPr>
      </w:pPr>
      <w:r w:rsidRPr="00F6681D">
        <w:rPr>
          <w:rFonts w:ascii="Verdana" w:hAnsi="Verdana" w:cs="Verdana"/>
          <w:color w:val="1C1C1C"/>
          <w:sz w:val="22"/>
          <w:szCs w:val="22"/>
        </w:rPr>
        <w:t xml:space="preserve">Aktive Impfung und passive Impfung </w:t>
      </w:r>
      <w:r w:rsidRPr="00F6681D">
        <w:rPr>
          <w:rFonts w:ascii="Verdana" w:hAnsi="Verdana" w:cs="Verdana"/>
          <w:color w:val="1C1C1C"/>
          <w:sz w:val="22"/>
          <w:szCs w:val="22"/>
          <w:u w:val="single"/>
        </w:rPr>
        <w:t>nicht</w:t>
      </w:r>
      <w:r w:rsidRPr="00F6681D">
        <w:rPr>
          <w:rFonts w:ascii="Verdana" w:hAnsi="Verdana" w:cs="Verdana"/>
          <w:color w:val="1C1C1C"/>
          <w:sz w:val="22"/>
          <w:szCs w:val="22"/>
        </w:rPr>
        <w:t xml:space="preserve"> notwendig, wenn HBs AK Titer nach Grundimmunisierung &gt;100mIE/ml und letzte Impfung innerhalb 5 Jahre oder innerhalb letzten 12 Monate HBs AK Titer &gt;100 mIE/ml </w:t>
      </w:r>
    </w:p>
    <w:p w:rsidR="00144477" w:rsidRPr="00F6681D" w:rsidRDefault="00144477" w:rsidP="00BF6477">
      <w:pPr>
        <w:numPr>
          <w:ilvl w:val="0"/>
          <w:numId w:val="4"/>
        </w:numPr>
        <w:jc w:val="both"/>
        <w:rPr>
          <w:rFonts w:ascii="Verdana" w:hAnsi="Verdana" w:cs="Verdana"/>
          <w:color w:val="1C1C1C"/>
          <w:sz w:val="22"/>
          <w:szCs w:val="22"/>
        </w:rPr>
      </w:pPr>
      <w:r w:rsidRPr="00F6681D">
        <w:rPr>
          <w:rFonts w:ascii="Verdana" w:hAnsi="Verdana" w:cs="Verdana"/>
          <w:color w:val="1C1C1C"/>
          <w:sz w:val="22"/>
          <w:szCs w:val="22"/>
        </w:rPr>
        <w:t xml:space="preserve">In allen anderen Fällen ist eine sofortige Boosterimpfung bzw. Erstimpfung (aktiv) </w:t>
      </w:r>
      <w:r w:rsidRPr="00F6681D">
        <w:rPr>
          <w:rFonts w:ascii="Verdana" w:hAnsi="Verdana" w:cs="Verdana"/>
          <w:color w:val="1C1C1C"/>
          <w:sz w:val="22"/>
          <w:szCs w:val="22"/>
          <w:u w:val="single"/>
        </w:rPr>
        <w:t>und</w:t>
      </w:r>
      <w:r w:rsidRPr="00F6681D">
        <w:rPr>
          <w:rFonts w:ascii="Verdana" w:hAnsi="Verdana" w:cs="Verdana"/>
          <w:color w:val="1C1C1C"/>
          <w:sz w:val="22"/>
          <w:szCs w:val="22"/>
        </w:rPr>
        <w:t xml:space="preserve"> eine HBs AK Titer Bestimmung zu machen. Die aktive Impfung ist</w:t>
      </w:r>
      <w:r>
        <w:rPr>
          <w:rFonts w:ascii="Verdana" w:hAnsi="Verdana" w:cs="Verdana"/>
          <w:color w:val="1C1C1C"/>
          <w:sz w:val="22"/>
          <w:szCs w:val="22"/>
        </w:rPr>
        <w:t xml:space="preserve"> </w:t>
      </w:r>
      <w:r w:rsidRPr="00F6681D">
        <w:rPr>
          <w:rFonts w:ascii="Verdana" w:hAnsi="Verdana" w:cs="Verdana"/>
          <w:color w:val="1C1C1C"/>
          <w:sz w:val="22"/>
          <w:szCs w:val="22"/>
        </w:rPr>
        <w:t>mit Engerix durchzuführen.</w:t>
      </w:r>
    </w:p>
    <w:p w:rsidR="00144477" w:rsidRPr="00F6681D" w:rsidRDefault="00144477" w:rsidP="00BF6477">
      <w:pPr>
        <w:ind w:left="708"/>
        <w:jc w:val="both"/>
        <w:rPr>
          <w:rFonts w:ascii="Verdana" w:hAnsi="Verdana" w:cs="Verdana"/>
          <w:color w:val="1C1C1C"/>
          <w:sz w:val="22"/>
          <w:szCs w:val="22"/>
        </w:rPr>
      </w:pPr>
      <w:r w:rsidRPr="00F6681D">
        <w:rPr>
          <w:rFonts w:ascii="Verdana" w:hAnsi="Verdana" w:cs="Verdana"/>
          <w:i/>
          <w:iCs/>
          <w:color w:val="1C1C1C"/>
          <w:sz w:val="22"/>
          <w:szCs w:val="22"/>
        </w:rPr>
        <w:t>(Lt. einer deutschen Empfehlung kann man vor einer Boosterimpfung bis zu 24 h auf einen aktuellen</w:t>
      </w:r>
      <w:r w:rsidRPr="00F6681D">
        <w:rPr>
          <w:rFonts w:ascii="Verdana" w:hAnsi="Verdana" w:cs="Verdana"/>
          <w:color w:val="1C1C1C"/>
          <w:sz w:val="22"/>
          <w:szCs w:val="22"/>
        </w:rPr>
        <w:t xml:space="preserve"> HBs AK Titer</w:t>
      </w:r>
      <w:r w:rsidRPr="00F6681D">
        <w:rPr>
          <w:rFonts w:ascii="Verdana" w:hAnsi="Verdana" w:cs="Verdana"/>
          <w:i/>
          <w:iCs/>
          <w:color w:val="1C1C1C"/>
          <w:sz w:val="22"/>
          <w:szCs w:val="22"/>
        </w:rPr>
        <w:t xml:space="preserve"> warten, wenn früher ein AK Titer &gt;100mIE/ml nach der Grundimmunisierung erreicht wurden – dieses Vorgehen ist zu wählen, wenn der Verletzte die sofortige Impfung ablehnt)</w:t>
      </w:r>
    </w:p>
    <w:p w:rsidR="00144477" w:rsidRDefault="00144477" w:rsidP="00BF6477">
      <w:pPr>
        <w:ind w:left="708"/>
        <w:jc w:val="both"/>
        <w:rPr>
          <w:rFonts w:ascii="Verdana" w:hAnsi="Verdana" w:cs="Verdana"/>
          <w:color w:val="1C1C1C"/>
          <w:sz w:val="22"/>
          <w:szCs w:val="22"/>
        </w:rPr>
      </w:pPr>
      <w:r w:rsidRPr="00F6681D">
        <w:rPr>
          <w:rFonts w:ascii="Verdana" w:hAnsi="Verdana" w:cs="Verdana"/>
          <w:color w:val="1C1C1C"/>
          <w:sz w:val="22"/>
          <w:szCs w:val="22"/>
        </w:rPr>
        <w:t xml:space="preserve">Zusätzlich muss in diesem Fall so rasch wie möglich, jedenfalls aber </w:t>
      </w:r>
      <w:r w:rsidRPr="00F6681D">
        <w:rPr>
          <w:rFonts w:ascii="Verdana" w:hAnsi="Verdana" w:cs="Verdana"/>
          <w:b/>
          <w:bCs/>
          <w:color w:val="1C1C1C"/>
          <w:sz w:val="22"/>
          <w:szCs w:val="22"/>
        </w:rPr>
        <w:t>innerhalb von 48 Stunden</w:t>
      </w:r>
      <w:r w:rsidRPr="00F6681D">
        <w:rPr>
          <w:rFonts w:ascii="Verdana" w:hAnsi="Verdana" w:cs="Verdana"/>
          <w:color w:val="1C1C1C"/>
          <w:sz w:val="22"/>
          <w:szCs w:val="22"/>
        </w:rPr>
        <w:t xml:space="preserve"> eine passive Impfung </w:t>
      </w:r>
      <w:r>
        <w:rPr>
          <w:rFonts w:ascii="Verdana" w:hAnsi="Verdana" w:cs="Verdana"/>
          <w:color w:val="1C1C1C"/>
          <w:sz w:val="22"/>
          <w:szCs w:val="22"/>
        </w:rPr>
        <w:t xml:space="preserve">(mit Hepatect) </w:t>
      </w:r>
      <w:r w:rsidRPr="00F6681D">
        <w:rPr>
          <w:rFonts w:ascii="Verdana" w:hAnsi="Verdana" w:cs="Verdana"/>
          <w:color w:val="1C1C1C"/>
          <w:sz w:val="22"/>
          <w:szCs w:val="22"/>
        </w:rPr>
        <w:t xml:space="preserve">gemacht werden, wenn der aktuelle, jetzt bestimmte </w:t>
      </w:r>
      <w:r>
        <w:rPr>
          <w:rFonts w:ascii="Verdana" w:hAnsi="Verdana" w:cs="Verdana"/>
          <w:color w:val="1C1C1C"/>
          <w:sz w:val="22"/>
          <w:szCs w:val="22"/>
        </w:rPr>
        <w:t xml:space="preserve">HBs AK Titer &lt;20 mIE/ml </w:t>
      </w:r>
    </w:p>
    <w:p w:rsidR="00144477" w:rsidRDefault="00144477" w:rsidP="00BF6477">
      <w:pPr>
        <w:ind w:left="708"/>
        <w:jc w:val="both"/>
        <w:rPr>
          <w:rFonts w:ascii="Verdana" w:hAnsi="Verdana" w:cs="Verdana"/>
          <w:color w:val="1C1C1C"/>
          <w:sz w:val="22"/>
          <w:szCs w:val="22"/>
        </w:rPr>
      </w:pPr>
    </w:p>
    <w:p w:rsidR="00144477" w:rsidRPr="00D43657" w:rsidRDefault="00144477" w:rsidP="00BF6477">
      <w:pPr>
        <w:jc w:val="both"/>
        <w:rPr>
          <w:rFonts w:ascii="Verdana" w:hAnsi="Verdana" w:cs="Verdana"/>
          <w:b/>
          <w:bCs/>
          <w:color w:val="1C1C1C"/>
          <w:sz w:val="22"/>
          <w:szCs w:val="22"/>
        </w:rPr>
      </w:pPr>
      <w:r w:rsidRPr="00D43657">
        <w:rPr>
          <w:rFonts w:ascii="Verdana" w:hAnsi="Verdana" w:cs="Verdana"/>
          <w:b/>
          <w:bCs/>
          <w:color w:val="1C1C1C"/>
          <w:sz w:val="22"/>
          <w:szCs w:val="22"/>
        </w:rPr>
        <w:t>Vorgehen bei Verdacht auf Hepatitis C Infektion:</w:t>
      </w:r>
    </w:p>
    <w:p w:rsidR="00144477" w:rsidRPr="00D43657" w:rsidRDefault="00144477" w:rsidP="00D43657">
      <w:pPr>
        <w:jc w:val="center"/>
        <w:rPr>
          <w:rFonts w:ascii="Verdana" w:hAnsi="Verdana" w:cs="Verdana"/>
          <w:b/>
          <w:bCs/>
          <w:color w:val="1C1C1C"/>
          <w:sz w:val="22"/>
          <w:szCs w:val="22"/>
        </w:rPr>
      </w:pPr>
    </w:p>
    <w:p w:rsidR="00144477" w:rsidRPr="00F6681D" w:rsidRDefault="00144477" w:rsidP="00D43657">
      <w:pPr>
        <w:numPr>
          <w:ilvl w:val="0"/>
          <w:numId w:val="4"/>
        </w:numPr>
        <w:jc w:val="both"/>
        <w:rPr>
          <w:rFonts w:ascii="Verdana" w:hAnsi="Verdana" w:cs="Verdana"/>
          <w:color w:val="1C1C1C"/>
          <w:sz w:val="22"/>
          <w:szCs w:val="22"/>
        </w:rPr>
      </w:pPr>
      <w:r>
        <w:rPr>
          <w:rFonts w:ascii="Verdana" w:hAnsi="Verdana" w:cs="Verdana"/>
          <w:color w:val="1C1C1C"/>
          <w:sz w:val="22"/>
          <w:szCs w:val="22"/>
        </w:rPr>
        <w:t>Besteht die Möglichkeit einer Infektion mit Hepatitis C, so ist ein bis zwei Wochen nach der Stichverletzung eine HCV – PCR durchzuführen. Wenn diese ein positives Ergebnis bringt, obwohl die Antikörperbestimmung direkt nach der Stichverletzung negativ war, ist von einer frischen Hepatitis C Infektion auszugehen und eine sofortige Therapie über einen Spezialisten einzuleiten</w:t>
      </w:r>
    </w:p>
    <w:p w:rsidR="00144477" w:rsidRPr="00F6681D" w:rsidRDefault="00144477" w:rsidP="00BF6477">
      <w:pPr>
        <w:jc w:val="both"/>
        <w:rPr>
          <w:rFonts w:ascii="Verdana" w:hAnsi="Verdana" w:cs="Verdana"/>
          <w:color w:val="1C1C1C"/>
          <w:sz w:val="22"/>
          <w:szCs w:val="22"/>
        </w:rPr>
      </w:pPr>
    </w:p>
    <w:p w:rsidR="00144477" w:rsidRDefault="00144477" w:rsidP="00BF6477">
      <w:pPr>
        <w:jc w:val="both"/>
        <w:rPr>
          <w:rFonts w:ascii="Verdana" w:hAnsi="Verdana" w:cs="Verdana"/>
          <w:color w:val="1C1C1C"/>
          <w:sz w:val="22"/>
          <w:szCs w:val="22"/>
        </w:rPr>
      </w:pPr>
      <w:r w:rsidRPr="007840F4">
        <w:rPr>
          <w:rFonts w:ascii="Verdana" w:hAnsi="Verdana" w:cs="Verdana"/>
          <w:color w:val="1C1C1C"/>
          <w:sz w:val="22"/>
          <w:szCs w:val="22"/>
        </w:rPr>
        <w:t>Achten sie rechtzeitig auf ihren Impfschutz (Titerkontrollen) und lassen sie alle für sie empfohlenen Impfungen für den Arbeitsplatz durchführen.</w:t>
      </w:r>
    </w:p>
    <w:p w:rsidR="00144477" w:rsidRPr="00F6681D" w:rsidRDefault="00144477" w:rsidP="00BF6477">
      <w:pPr>
        <w:jc w:val="both"/>
        <w:rPr>
          <w:rFonts w:ascii="Verdana" w:hAnsi="Verdana" w:cs="Verdana"/>
          <w:color w:val="1C1C1C"/>
          <w:sz w:val="22"/>
          <w:szCs w:val="22"/>
        </w:rPr>
      </w:pPr>
    </w:p>
    <w:p w:rsidR="00144477" w:rsidRPr="00F6681D" w:rsidRDefault="00144477" w:rsidP="00BF6477">
      <w:pPr>
        <w:jc w:val="both"/>
        <w:rPr>
          <w:rFonts w:ascii="Verdana" w:hAnsi="Verdana" w:cs="Verdana"/>
          <w:sz w:val="22"/>
          <w:szCs w:val="22"/>
        </w:rPr>
      </w:pPr>
    </w:p>
    <w:p w:rsidR="00144477" w:rsidRPr="00E0340B" w:rsidRDefault="00144477" w:rsidP="00BF6477">
      <w:pPr>
        <w:jc w:val="both"/>
        <w:rPr>
          <w:rFonts w:ascii="Verdana" w:hAnsi="Verdana" w:cs="Verdana"/>
          <w:b/>
          <w:bCs/>
          <w:sz w:val="22"/>
          <w:szCs w:val="22"/>
          <w:u w:val="single"/>
        </w:rPr>
      </w:pPr>
      <w:r w:rsidRPr="00E0340B">
        <w:rPr>
          <w:rFonts w:ascii="Verdana" w:hAnsi="Verdana" w:cs="Verdana"/>
          <w:b/>
          <w:bCs/>
          <w:sz w:val="22"/>
          <w:szCs w:val="22"/>
          <w:u w:val="single"/>
        </w:rPr>
        <w:t>Unfallmeldung:</w:t>
      </w:r>
    </w:p>
    <w:p w:rsidR="00144477" w:rsidRDefault="00144477" w:rsidP="00BF6477">
      <w:pPr>
        <w:jc w:val="both"/>
        <w:rPr>
          <w:rFonts w:ascii="Verdana" w:hAnsi="Verdana" w:cs="Verdana"/>
          <w:sz w:val="22"/>
          <w:szCs w:val="22"/>
        </w:rPr>
      </w:pPr>
      <w:r>
        <w:rPr>
          <w:rFonts w:ascii="Verdana" w:hAnsi="Verdana" w:cs="Verdana"/>
          <w:sz w:val="22"/>
          <w:szCs w:val="22"/>
        </w:rPr>
        <w:t>Eine Nadelstichverletzung muss unverzüglich der verantwortlichen Person (siehe Liste) am Standort mitgeteilt werden. In weiterer Folge wird der Arbeitsunfall von der Personalstelle an die BVA bzw. AUVA sowie an die Verantwortlichen für den Arbeitnehmerschutz (Rektorat, Sicherheitsfachkraft, Arbeitsmedizin, etc.) gemeldet.  Für eine Haftung im Falle von Spätfolgen sind diese Meldung sowie die sofortige Begutachtung inklusive Blutkontrollen (falls indiziert) essentiell.</w:t>
      </w:r>
    </w:p>
    <w:p w:rsidR="00144477" w:rsidRDefault="00144477" w:rsidP="00BF6477">
      <w:pPr>
        <w:jc w:val="both"/>
        <w:rPr>
          <w:rFonts w:ascii="Verdana" w:hAnsi="Verdana" w:cs="Verdana"/>
          <w:sz w:val="22"/>
          <w:szCs w:val="22"/>
        </w:rPr>
      </w:pPr>
    </w:p>
    <w:p w:rsidR="00144477" w:rsidRDefault="00144477" w:rsidP="00BF6477">
      <w:pPr>
        <w:jc w:val="both"/>
        <w:rPr>
          <w:rFonts w:ascii="Verdana" w:hAnsi="Verdana" w:cs="Verdana"/>
          <w:sz w:val="22"/>
          <w:szCs w:val="22"/>
        </w:rPr>
      </w:pPr>
    </w:p>
    <w:p w:rsidR="00144477" w:rsidRDefault="00144477" w:rsidP="00BF6477">
      <w:pPr>
        <w:jc w:val="both"/>
        <w:rPr>
          <w:rFonts w:ascii="Verdana" w:hAnsi="Verdana" w:cs="Verdana"/>
          <w:sz w:val="22"/>
          <w:szCs w:val="22"/>
        </w:rPr>
      </w:pPr>
      <w:r>
        <w:rPr>
          <w:rFonts w:ascii="Verdana" w:hAnsi="Verdana" w:cs="Verdana"/>
          <w:sz w:val="22"/>
          <w:szCs w:val="22"/>
        </w:rPr>
        <w:t>Liste zu kontaktierender Personen am Standort:</w:t>
      </w:r>
    </w:p>
    <w:p w:rsidR="00144477" w:rsidRDefault="00144477" w:rsidP="00BF6477">
      <w:pPr>
        <w:jc w:val="both"/>
        <w:rPr>
          <w:rFonts w:ascii="Verdana" w:hAnsi="Verdana" w:cs="Verdana"/>
          <w:sz w:val="22"/>
          <w:szCs w:val="22"/>
        </w:rPr>
      </w:pPr>
    </w:p>
    <w:p w:rsidR="00144477" w:rsidRDefault="00144477" w:rsidP="00BF6477">
      <w:pPr>
        <w:jc w:val="both"/>
        <w:rPr>
          <w:rFonts w:ascii="Verdana" w:hAnsi="Verdana" w:cs="Verdana"/>
          <w:sz w:val="22"/>
          <w:szCs w:val="22"/>
        </w:rPr>
      </w:pPr>
    </w:p>
    <w:p w:rsidR="00144477" w:rsidRDefault="00144477" w:rsidP="00BF6477">
      <w:pPr>
        <w:jc w:val="both"/>
        <w:rPr>
          <w:rFonts w:ascii="Verdana" w:hAnsi="Verdana" w:cs="Verdana"/>
          <w:sz w:val="22"/>
          <w:szCs w:val="22"/>
        </w:rPr>
      </w:pPr>
      <w:r>
        <w:rPr>
          <w:rFonts w:ascii="Verdana" w:hAnsi="Verdana" w:cs="Verdana"/>
          <w:sz w:val="22"/>
          <w:szCs w:val="22"/>
        </w:rPr>
        <w:t xml:space="preserve">Arbeitsgruppenleiter: </w:t>
      </w:r>
    </w:p>
    <w:p w:rsidR="00144477" w:rsidRDefault="00144477" w:rsidP="00BF6477">
      <w:pPr>
        <w:jc w:val="both"/>
        <w:rPr>
          <w:rFonts w:ascii="Verdana" w:hAnsi="Verdana" w:cs="Verdana"/>
          <w:sz w:val="22"/>
          <w:szCs w:val="22"/>
        </w:rPr>
      </w:pPr>
    </w:p>
    <w:p w:rsidR="00144477" w:rsidRDefault="00144477" w:rsidP="00BF6477">
      <w:pPr>
        <w:jc w:val="both"/>
        <w:rPr>
          <w:rFonts w:ascii="Verdana" w:hAnsi="Verdana" w:cs="Verdana"/>
          <w:sz w:val="22"/>
          <w:szCs w:val="22"/>
        </w:rPr>
      </w:pPr>
      <w:r>
        <w:rPr>
          <w:rFonts w:ascii="Verdana" w:hAnsi="Verdana" w:cs="Verdana"/>
          <w:sz w:val="22"/>
          <w:szCs w:val="22"/>
        </w:rPr>
        <w:t>Sekretariat:</w:t>
      </w:r>
    </w:p>
    <w:p w:rsidR="00144477" w:rsidRDefault="00144477" w:rsidP="00BF6477">
      <w:pPr>
        <w:jc w:val="both"/>
        <w:rPr>
          <w:rFonts w:ascii="Verdana" w:hAnsi="Verdana" w:cs="Verdana"/>
          <w:sz w:val="22"/>
          <w:szCs w:val="22"/>
        </w:rPr>
      </w:pPr>
    </w:p>
    <w:p w:rsidR="00144477" w:rsidRDefault="00144477" w:rsidP="00BF6477">
      <w:pPr>
        <w:jc w:val="both"/>
        <w:rPr>
          <w:rFonts w:ascii="Verdana" w:hAnsi="Verdana" w:cs="Verdana"/>
          <w:sz w:val="22"/>
          <w:szCs w:val="22"/>
        </w:rPr>
      </w:pPr>
    </w:p>
    <w:p w:rsidR="00144477" w:rsidRDefault="00144477" w:rsidP="00BF6477">
      <w:pPr>
        <w:jc w:val="both"/>
        <w:rPr>
          <w:rFonts w:ascii="Verdana" w:hAnsi="Verdana" w:cs="Verdana"/>
          <w:b/>
          <w:bCs/>
          <w:sz w:val="22"/>
          <w:szCs w:val="22"/>
        </w:rPr>
      </w:pPr>
      <w:r w:rsidRPr="00933BE3">
        <w:rPr>
          <w:rFonts w:ascii="Verdana" w:hAnsi="Verdana" w:cs="Verdana"/>
          <w:b/>
          <w:bCs/>
          <w:sz w:val="22"/>
          <w:szCs w:val="22"/>
        </w:rPr>
        <w:t>Verminderung der Gefahren im Umgang mit gefährlichen Arbeitsmitteln:</w:t>
      </w:r>
    </w:p>
    <w:p w:rsidR="00144477" w:rsidRDefault="00144477" w:rsidP="00BF6477">
      <w:pPr>
        <w:jc w:val="both"/>
        <w:rPr>
          <w:rFonts w:ascii="Verdana" w:hAnsi="Verdana" w:cs="Verdana"/>
          <w:b/>
          <w:bCs/>
          <w:sz w:val="22"/>
          <w:szCs w:val="22"/>
        </w:rPr>
      </w:pPr>
      <w:r>
        <w:rPr>
          <w:rFonts w:ascii="Verdana" w:hAnsi="Verdana" w:cs="Verdana"/>
          <w:b/>
          <w:bCs/>
          <w:sz w:val="22"/>
          <w:szCs w:val="22"/>
        </w:rPr>
        <w:t>(AschG §§ 40 – 43)</w:t>
      </w:r>
    </w:p>
    <w:p w:rsidR="00144477" w:rsidRDefault="00144477" w:rsidP="00BF6477">
      <w:pPr>
        <w:jc w:val="both"/>
        <w:rPr>
          <w:rFonts w:ascii="Verdana" w:hAnsi="Verdana" w:cs="Verdana"/>
          <w:b/>
          <w:bCs/>
          <w:sz w:val="22"/>
          <w:szCs w:val="22"/>
        </w:rPr>
      </w:pPr>
    </w:p>
    <w:p w:rsidR="00144477" w:rsidRPr="00E408A3" w:rsidRDefault="00144477" w:rsidP="00BF6477">
      <w:pPr>
        <w:jc w:val="both"/>
        <w:rPr>
          <w:rFonts w:ascii="Verdana" w:hAnsi="Verdana" w:cs="Verdana"/>
          <w:sz w:val="22"/>
          <w:szCs w:val="22"/>
        </w:rPr>
      </w:pPr>
      <w:r>
        <w:rPr>
          <w:rFonts w:ascii="Verdana" w:hAnsi="Verdana" w:cs="Verdana"/>
          <w:sz w:val="22"/>
          <w:szCs w:val="22"/>
        </w:rPr>
        <w:t>In vielen Fällen (außer zum D</w:t>
      </w:r>
      <w:bookmarkStart w:id="0" w:name="_GoBack"/>
      <w:bookmarkEnd w:id="0"/>
      <w:r w:rsidRPr="00E408A3">
        <w:rPr>
          <w:rFonts w:ascii="Verdana" w:hAnsi="Verdana" w:cs="Verdana"/>
          <w:sz w:val="22"/>
          <w:szCs w:val="22"/>
        </w:rPr>
        <w:t xml:space="preserve">urchstechen z.B. eines Septums) wird die Spitze Kanüle nicht benötigt. Daher wird empfohlen </w:t>
      </w:r>
      <w:r>
        <w:rPr>
          <w:rFonts w:ascii="Verdana" w:hAnsi="Verdana" w:cs="Verdana"/>
          <w:sz w:val="22"/>
          <w:szCs w:val="22"/>
        </w:rPr>
        <w:t>wo immer es möglich ist</w:t>
      </w:r>
      <w:r w:rsidRPr="00E408A3">
        <w:rPr>
          <w:rFonts w:ascii="Verdana" w:hAnsi="Verdana" w:cs="Verdana"/>
          <w:sz w:val="22"/>
          <w:szCs w:val="22"/>
        </w:rPr>
        <w:t xml:space="preserve"> auf </w:t>
      </w:r>
      <w:r w:rsidRPr="00E408A3">
        <w:rPr>
          <w:rFonts w:ascii="Verdana" w:hAnsi="Verdana" w:cs="Verdana"/>
          <w:b/>
          <w:bCs/>
          <w:sz w:val="22"/>
          <w:szCs w:val="22"/>
        </w:rPr>
        <w:t xml:space="preserve">blunt needles </w:t>
      </w:r>
      <w:r w:rsidRPr="00E408A3">
        <w:rPr>
          <w:rFonts w:ascii="Verdana" w:hAnsi="Verdana" w:cs="Verdana"/>
          <w:sz w:val="22"/>
          <w:szCs w:val="22"/>
        </w:rPr>
        <w:t>umzusteigen.</w:t>
      </w:r>
    </w:p>
    <w:p w:rsidR="00144477" w:rsidRPr="00E408A3" w:rsidRDefault="00144477" w:rsidP="00BF6477">
      <w:pPr>
        <w:jc w:val="both"/>
        <w:rPr>
          <w:rFonts w:ascii="Verdana" w:hAnsi="Verdana" w:cs="Verdana"/>
          <w:sz w:val="22"/>
          <w:szCs w:val="22"/>
        </w:rPr>
      </w:pPr>
    </w:p>
    <w:p w:rsidR="00144477" w:rsidRDefault="00144477" w:rsidP="00BF6477">
      <w:pPr>
        <w:jc w:val="both"/>
        <w:rPr>
          <w:rFonts w:ascii="Verdana" w:hAnsi="Verdana" w:cs="Verdana"/>
          <w:sz w:val="22"/>
          <w:szCs w:val="22"/>
        </w:rPr>
      </w:pPr>
    </w:p>
    <w:p w:rsidR="00144477" w:rsidRPr="00176F56" w:rsidRDefault="00144477" w:rsidP="00BF6477">
      <w:pPr>
        <w:jc w:val="both"/>
        <w:rPr>
          <w:rFonts w:ascii="Verdana" w:hAnsi="Verdana" w:cs="Verdana"/>
          <w:sz w:val="22"/>
          <w:szCs w:val="22"/>
        </w:rPr>
      </w:pPr>
      <w:r w:rsidRPr="008323DD">
        <w:rPr>
          <w:noProof/>
          <w:lang w:eastAsia="de-AT"/>
        </w:rPr>
        <w:pict>
          <v:shape id="Grafik 8" o:spid="_x0000_i1027" type="#_x0000_t75" alt="http://www.dhphomedelivery.com/productcart/pc/catalog/NeedlesSyringes-blunt_needle-800.jpg" style="width:180pt;height:118.5pt;visibility:visible">
            <v:imagedata r:id="rId9" o:title=""/>
          </v:shape>
        </w:pict>
      </w:r>
    </w:p>
    <w:p w:rsidR="00144477" w:rsidRDefault="00144477" w:rsidP="00BF6477">
      <w:pPr>
        <w:ind w:left="-11"/>
        <w:jc w:val="both"/>
        <w:rPr>
          <w:rFonts w:ascii="Verdana" w:hAnsi="Verdana" w:cs="Verdana"/>
          <w:sz w:val="22"/>
          <w:szCs w:val="22"/>
        </w:rPr>
      </w:pPr>
    </w:p>
    <w:p w:rsidR="00144477" w:rsidRDefault="00144477" w:rsidP="00BF6477">
      <w:pPr>
        <w:ind w:left="-11"/>
        <w:jc w:val="both"/>
        <w:rPr>
          <w:rFonts w:ascii="Verdana" w:hAnsi="Verdana" w:cs="Verdana"/>
          <w:sz w:val="22"/>
          <w:szCs w:val="22"/>
        </w:rPr>
      </w:pPr>
    </w:p>
    <w:p w:rsidR="00144477" w:rsidRPr="00FE5641" w:rsidRDefault="00144477" w:rsidP="00E0340B">
      <w:pPr>
        <w:jc w:val="both"/>
        <w:rPr>
          <w:rFonts w:ascii="Verdana" w:hAnsi="Verdana" w:cs="Verdana"/>
          <w:b/>
          <w:bCs/>
          <w:sz w:val="22"/>
          <w:szCs w:val="22"/>
        </w:rPr>
      </w:pPr>
      <w:r w:rsidRPr="00FE5641">
        <w:rPr>
          <w:rFonts w:ascii="Verdana" w:hAnsi="Verdana" w:cs="Verdana"/>
          <w:b/>
          <w:bCs/>
          <w:sz w:val="22"/>
          <w:szCs w:val="22"/>
        </w:rPr>
        <w:t>Entsorgung:</w:t>
      </w:r>
    </w:p>
    <w:p w:rsidR="00144477" w:rsidRDefault="00144477" w:rsidP="00E0340B">
      <w:pPr>
        <w:jc w:val="both"/>
        <w:rPr>
          <w:rFonts w:ascii="Verdana" w:hAnsi="Verdana" w:cs="Verdana"/>
          <w:sz w:val="22"/>
          <w:szCs w:val="22"/>
        </w:rPr>
      </w:pPr>
    </w:p>
    <w:p w:rsidR="00144477" w:rsidRDefault="00144477" w:rsidP="00E0340B">
      <w:pPr>
        <w:jc w:val="both"/>
        <w:rPr>
          <w:rFonts w:ascii="Verdana" w:hAnsi="Verdana" w:cs="Verdana"/>
          <w:sz w:val="22"/>
          <w:szCs w:val="22"/>
        </w:rPr>
      </w:pPr>
      <w:r>
        <w:rPr>
          <w:rFonts w:ascii="Verdana" w:hAnsi="Verdana" w:cs="Verdana"/>
          <w:sz w:val="22"/>
          <w:szCs w:val="22"/>
        </w:rPr>
        <w:t xml:space="preserve">Spitze Kanülen, Skalpelle, etc. sind ausschließlich nur in den oben angeführten </w:t>
      </w:r>
      <w:r w:rsidRPr="00CE02A4">
        <w:rPr>
          <w:rFonts w:ascii="Verdana" w:hAnsi="Verdana" w:cs="Verdana"/>
          <w:b/>
          <w:bCs/>
          <w:sz w:val="22"/>
          <w:szCs w:val="22"/>
          <w:highlight w:val="yellow"/>
        </w:rPr>
        <w:t>gelben Boxen</w:t>
      </w:r>
      <w:r w:rsidRPr="00CE02A4">
        <w:rPr>
          <w:rFonts w:ascii="Verdana" w:hAnsi="Verdana" w:cs="Verdana"/>
          <w:b/>
          <w:bCs/>
          <w:sz w:val="22"/>
          <w:szCs w:val="22"/>
        </w:rPr>
        <w:t xml:space="preserve"> </w:t>
      </w:r>
      <w:r>
        <w:rPr>
          <w:rFonts w:ascii="Verdana" w:hAnsi="Verdana" w:cs="Verdana"/>
          <w:sz w:val="22"/>
          <w:szCs w:val="22"/>
        </w:rPr>
        <w:t>zu entsorgen.</w:t>
      </w:r>
    </w:p>
    <w:p w:rsidR="00144477" w:rsidRDefault="00144477" w:rsidP="00E0340B">
      <w:pPr>
        <w:jc w:val="both"/>
        <w:rPr>
          <w:rFonts w:ascii="Verdana" w:hAnsi="Verdana" w:cs="Verdana"/>
          <w:sz w:val="22"/>
          <w:szCs w:val="22"/>
        </w:rPr>
      </w:pPr>
    </w:p>
    <w:p w:rsidR="00144477" w:rsidRPr="00F6681D" w:rsidRDefault="00144477" w:rsidP="00E0340B">
      <w:pPr>
        <w:jc w:val="both"/>
        <w:rPr>
          <w:rFonts w:ascii="Verdana" w:hAnsi="Verdana" w:cs="Verdana"/>
          <w:sz w:val="22"/>
          <w:szCs w:val="22"/>
        </w:rPr>
      </w:pPr>
      <w:r>
        <w:rPr>
          <w:rFonts w:ascii="Verdana" w:hAnsi="Verdana" w:cs="Verdana"/>
          <w:sz w:val="22"/>
          <w:szCs w:val="22"/>
        </w:rPr>
        <w:t xml:space="preserve">Spritzen sind (auch wenn der Inhalt nur Wasser war) ausschließlich nur in dem zu autoklavierenden Müll zu entsorgen um keine Missverständnisse zu provozieren. </w:t>
      </w:r>
    </w:p>
    <w:p w:rsidR="00144477" w:rsidRPr="00C64F1C" w:rsidRDefault="00144477" w:rsidP="00602E5C">
      <w:pPr>
        <w:tabs>
          <w:tab w:val="left" w:pos="3690"/>
        </w:tabs>
        <w:rPr>
          <w:rFonts w:ascii="Verdana" w:hAnsi="Verdana" w:cs="Verdana"/>
          <w:b/>
          <w:bCs/>
          <w:sz w:val="20"/>
          <w:szCs w:val="20"/>
        </w:rPr>
      </w:pPr>
    </w:p>
    <w:sectPr w:rsidR="00144477" w:rsidRPr="00C64F1C" w:rsidSect="00EC519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477" w:rsidRDefault="00144477" w:rsidP="00F37D46">
      <w:r>
        <w:separator/>
      </w:r>
    </w:p>
  </w:endnote>
  <w:endnote w:type="continuationSeparator" w:id="0">
    <w:p w:rsidR="00144477" w:rsidRDefault="00144477" w:rsidP="00F37D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77" w:rsidRDefault="00144477">
    <w:pPr>
      <w:pStyle w:val="Footer"/>
    </w:pPr>
    <w:r>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2051" type="#_x0000_t75" style="position:absolute;margin-left:-70.85pt;margin-top:9.75pt;width:596.2pt;height:61.45pt;z-index:-251657728;visibility:visible" wrapcoords="-27 0 -27 21073 21600 21073 21600 0 -27 0">
          <v:imagedata r:id="rId1" o:title=""/>
          <w10:wrap type="tight"/>
        </v:shape>
      </w:pict>
    </w:r>
  </w:p>
  <w:p w:rsidR="00144477" w:rsidRDefault="00144477">
    <w:r>
      <w:rPr>
        <w:noProof/>
        <w:lang w:eastAsia="de-AT"/>
      </w:rPr>
      <w:pict>
        <v:shape id="Grafik 18" o:spid="_x0000_s2052" type="#_x0000_t75" alt="fusszeile_2010" style="position:absolute;margin-left:-9pt;margin-top:787.95pt;width:596pt;height:61pt;z-index:251657728;visibility:visible">
          <v:imagedata r:id="rId2" o:title=""/>
        </v:shape>
      </w:pict>
    </w:r>
    <w:r>
      <w:rPr>
        <w:noProof/>
        <w:lang w:eastAsia="de-AT"/>
      </w:rPr>
      <w:pict>
        <v:shape id="Grafik 17" o:spid="_x0000_s2053" type="#_x0000_t75" alt="fusszeile_2010" style="position:absolute;margin-left:-9pt;margin-top:787.95pt;width:596pt;height:61pt;z-index:251656704;visibility:visible">
          <v:imagedata r:id="rId2"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477" w:rsidRDefault="00144477" w:rsidP="00F37D46">
      <w:r>
        <w:separator/>
      </w:r>
    </w:p>
  </w:footnote>
  <w:footnote w:type="continuationSeparator" w:id="0">
    <w:p w:rsidR="00144477" w:rsidRDefault="00144477" w:rsidP="00F37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77" w:rsidRDefault="00144477">
    <w:pPr>
      <w:pStyle w:val="Header"/>
    </w:pPr>
    <w:r>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s2049" type="#_x0000_t75" style="position:absolute;margin-left:405pt;margin-top:-27.55pt;width:75pt;height:75pt;z-index:251659776;visibility:visible">
          <v:imagedata r:id="rId1" o:title=""/>
        </v:shape>
      </w:pict>
    </w:r>
    <w:r>
      <w:rPr>
        <w:noProof/>
        <w:lang w:eastAsia="de-AT"/>
      </w:rPr>
      <w:pict>
        <v:shape id="Bild 1" o:spid="_x0000_s2050" type="#_x0000_t75" alt="IBG_logo_innovativ_2010" style="position:absolute;margin-left:-16.45pt;margin-top:-18.45pt;width:177.4pt;height:44.2pt;z-index:251655680;visibility:visible">
          <v:imagedata r:id="rId2" o:title=""/>
        </v:shape>
      </w:pict>
    </w:r>
    <w:r>
      <w:rPr>
        <w:lang w:val="de-DE"/>
      </w:rPr>
      <w:t>[Geben Sie Text ein]</w:t>
    </w:r>
    <w:r w:rsidRPr="00CE467C">
      <w:rPr>
        <w:rFonts w:ascii="Helvetica" w:hAnsi="Helvetica" w:cs="Helvetica"/>
        <w:lang w:val="de-DE" w:eastAsia="de-AT"/>
      </w:rPr>
      <w:t xml:space="preserve"> </w:t>
    </w:r>
  </w:p>
  <w:p w:rsidR="00144477" w:rsidRDefault="001444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8B2"/>
    <w:multiLevelType w:val="hybridMultilevel"/>
    <w:tmpl w:val="432A0D0E"/>
    <w:lvl w:ilvl="0" w:tplc="CF48A126">
      <w:start w:val="1"/>
      <w:numFmt w:val="bullet"/>
      <w:lvlText w:val=""/>
      <w:lvlJc w:val="left"/>
      <w:pPr>
        <w:tabs>
          <w:tab w:val="num" w:pos="720"/>
        </w:tabs>
        <w:ind w:left="720" w:hanging="360"/>
      </w:pPr>
      <w:rPr>
        <w:rFonts w:ascii="Wingdings" w:hAnsi="Wingdings" w:cs="Wingdings" w:hint="default"/>
        <w:color w:val="FFCC00"/>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1">
    <w:nsid w:val="397F07DE"/>
    <w:multiLevelType w:val="hybridMultilevel"/>
    <w:tmpl w:val="EC50569C"/>
    <w:lvl w:ilvl="0" w:tplc="0407000B">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5B836B75"/>
    <w:multiLevelType w:val="hybridMultilevel"/>
    <w:tmpl w:val="6A8A9434"/>
    <w:lvl w:ilvl="0" w:tplc="CF48A126">
      <w:start w:val="1"/>
      <w:numFmt w:val="bullet"/>
      <w:lvlText w:val=""/>
      <w:lvlJc w:val="left"/>
      <w:pPr>
        <w:tabs>
          <w:tab w:val="num" w:pos="720"/>
        </w:tabs>
        <w:ind w:left="720" w:hanging="360"/>
      </w:pPr>
      <w:rPr>
        <w:rFonts w:ascii="Wingdings" w:hAnsi="Wingdings" w:cs="Wingdings" w:hint="default"/>
        <w:color w:val="FFCC00"/>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3">
    <w:nsid w:val="7F76242F"/>
    <w:multiLevelType w:val="hybridMultilevel"/>
    <w:tmpl w:val="0D5E55D8"/>
    <w:lvl w:ilvl="0" w:tplc="875A30CA">
      <w:start w:val="26"/>
      <w:numFmt w:val="bullet"/>
      <w:lvlText w:val="-"/>
      <w:lvlJc w:val="left"/>
      <w:pPr>
        <w:ind w:left="720" w:hanging="360"/>
      </w:pPr>
      <w:rPr>
        <w:rFonts w:ascii="Verdana" w:eastAsia="Times New Roman" w:hAnsi="Verdan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96B"/>
    <w:rsid w:val="00044561"/>
    <w:rsid w:val="00072A2F"/>
    <w:rsid w:val="000C1CB0"/>
    <w:rsid w:val="000C2D34"/>
    <w:rsid w:val="000C45D4"/>
    <w:rsid w:val="00115C50"/>
    <w:rsid w:val="00144477"/>
    <w:rsid w:val="00144EA8"/>
    <w:rsid w:val="00160D94"/>
    <w:rsid w:val="00176F56"/>
    <w:rsid w:val="00213AF9"/>
    <w:rsid w:val="00220F75"/>
    <w:rsid w:val="00263EAF"/>
    <w:rsid w:val="002D2941"/>
    <w:rsid w:val="002F6946"/>
    <w:rsid w:val="00384A4E"/>
    <w:rsid w:val="004661AE"/>
    <w:rsid w:val="00474CF8"/>
    <w:rsid w:val="0057796D"/>
    <w:rsid w:val="005D31AD"/>
    <w:rsid w:val="005D4467"/>
    <w:rsid w:val="0060105C"/>
    <w:rsid w:val="00602E5C"/>
    <w:rsid w:val="006357B2"/>
    <w:rsid w:val="0063730E"/>
    <w:rsid w:val="00642846"/>
    <w:rsid w:val="006453F6"/>
    <w:rsid w:val="0066069A"/>
    <w:rsid w:val="006C5212"/>
    <w:rsid w:val="00745F9B"/>
    <w:rsid w:val="007840F4"/>
    <w:rsid w:val="00793A1A"/>
    <w:rsid w:val="007A4796"/>
    <w:rsid w:val="008310A7"/>
    <w:rsid w:val="008323DD"/>
    <w:rsid w:val="00844E60"/>
    <w:rsid w:val="008F4682"/>
    <w:rsid w:val="00933BE3"/>
    <w:rsid w:val="009A0BAF"/>
    <w:rsid w:val="009E2670"/>
    <w:rsid w:val="00A02FAC"/>
    <w:rsid w:val="00A11670"/>
    <w:rsid w:val="00A526B1"/>
    <w:rsid w:val="00A93692"/>
    <w:rsid w:val="00AE1028"/>
    <w:rsid w:val="00BD0578"/>
    <w:rsid w:val="00BF6477"/>
    <w:rsid w:val="00C64F1C"/>
    <w:rsid w:val="00CA1D38"/>
    <w:rsid w:val="00CE02A4"/>
    <w:rsid w:val="00CE467C"/>
    <w:rsid w:val="00D43657"/>
    <w:rsid w:val="00DA2427"/>
    <w:rsid w:val="00DB59CD"/>
    <w:rsid w:val="00E0340B"/>
    <w:rsid w:val="00E408A3"/>
    <w:rsid w:val="00E77535"/>
    <w:rsid w:val="00EA7D9B"/>
    <w:rsid w:val="00EC5190"/>
    <w:rsid w:val="00F0396B"/>
    <w:rsid w:val="00F37D46"/>
    <w:rsid w:val="00F56CCD"/>
    <w:rsid w:val="00F6681D"/>
    <w:rsid w:val="00F9604E"/>
    <w:rsid w:val="00FE5641"/>
    <w:rsid w:val="00FE6803"/>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190"/>
    <w:rPr>
      <w:sz w:val="24"/>
      <w:szCs w:val="24"/>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46"/>
    <w:pPr>
      <w:tabs>
        <w:tab w:val="center" w:pos="4536"/>
        <w:tab w:val="right" w:pos="9072"/>
      </w:tabs>
    </w:pPr>
  </w:style>
  <w:style w:type="character" w:customStyle="1" w:styleId="HeaderChar">
    <w:name w:val="Header Char"/>
    <w:basedOn w:val="DefaultParagraphFont"/>
    <w:link w:val="Header"/>
    <w:uiPriority w:val="99"/>
    <w:rsid w:val="00F37D46"/>
    <w:rPr>
      <w:sz w:val="24"/>
      <w:szCs w:val="24"/>
      <w:lang w:eastAsia="de-DE"/>
    </w:rPr>
  </w:style>
  <w:style w:type="paragraph" w:styleId="Footer">
    <w:name w:val="footer"/>
    <w:basedOn w:val="Normal"/>
    <w:link w:val="FooterChar"/>
    <w:uiPriority w:val="99"/>
    <w:rsid w:val="00F37D46"/>
    <w:pPr>
      <w:tabs>
        <w:tab w:val="center" w:pos="4536"/>
        <w:tab w:val="right" w:pos="9072"/>
      </w:tabs>
    </w:pPr>
  </w:style>
  <w:style w:type="character" w:customStyle="1" w:styleId="FooterChar">
    <w:name w:val="Footer Char"/>
    <w:basedOn w:val="DefaultParagraphFont"/>
    <w:link w:val="Footer"/>
    <w:uiPriority w:val="99"/>
    <w:rsid w:val="00F37D46"/>
    <w:rPr>
      <w:sz w:val="24"/>
      <w:szCs w:val="24"/>
      <w:lang w:eastAsia="de-DE"/>
    </w:rPr>
  </w:style>
  <w:style w:type="paragraph" w:styleId="BalloonText">
    <w:name w:val="Balloon Text"/>
    <w:basedOn w:val="Normal"/>
    <w:link w:val="BalloonTextChar"/>
    <w:uiPriority w:val="99"/>
    <w:semiHidden/>
    <w:rsid w:val="00F37D46"/>
    <w:rPr>
      <w:rFonts w:ascii="Tahoma" w:hAnsi="Tahoma" w:cs="Tahoma"/>
      <w:sz w:val="16"/>
      <w:szCs w:val="16"/>
    </w:rPr>
  </w:style>
  <w:style w:type="character" w:customStyle="1" w:styleId="BalloonTextChar">
    <w:name w:val="Balloon Text Char"/>
    <w:basedOn w:val="DefaultParagraphFont"/>
    <w:link w:val="BalloonText"/>
    <w:uiPriority w:val="99"/>
    <w:rsid w:val="00F37D46"/>
    <w:rPr>
      <w:rFonts w:ascii="Tahoma" w:hAnsi="Tahoma" w:cs="Tahoma"/>
      <w:sz w:val="16"/>
      <w:szCs w:val="16"/>
      <w:lang w:eastAsia="de-DE"/>
    </w:rPr>
  </w:style>
  <w:style w:type="paragraph" w:styleId="ListParagraph">
    <w:name w:val="List Paragraph"/>
    <w:basedOn w:val="Normal"/>
    <w:uiPriority w:val="99"/>
    <w:qFormat/>
    <w:rsid w:val="000C1CB0"/>
    <w:pPr>
      <w:ind w:left="720"/>
    </w:pPr>
  </w:style>
  <w:style w:type="character" w:styleId="Hyperlink">
    <w:name w:val="Hyperlink"/>
    <w:basedOn w:val="DefaultParagraphFont"/>
    <w:uiPriority w:val="99"/>
    <w:rsid w:val="00E77535"/>
    <w:rPr>
      <w:color w:val="0000FF"/>
      <w:u w:val="single"/>
    </w:rPr>
  </w:style>
  <w:style w:type="paragraph" w:customStyle="1" w:styleId="Default">
    <w:name w:val="Default"/>
    <w:uiPriority w:val="99"/>
    <w:rsid w:val="009E2670"/>
    <w:pPr>
      <w:autoSpaceDE w:val="0"/>
      <w:autoSpaceDN w:val="0"/>
      <w:adjustRightInd w:val="0"/>
    </w:pPr>
    <w:rPr>
      <w:color w:val="000000"/>
      <w:sz w:val="24"/>
      <w:szCs w:val="24"/>
      <w:lang w:val="de-DE" w:eastAsia="de-DE"/>
    </w:rPr>
  </w:style>
  <w:style w:type="character" w:styleId="FollowedHyperlink">
    <w:name w:val="FollowedHyperlink"/>
    <w:basedOn w:val="DefaultParagraphFont"/>
    <w:uiPriority w:val="99"/>
    <w:semiHidden/>
    <w:rsid w:val="004661AE"/>
    <w:rPr>
      <w:color w:val="800080"/>
      <w:u w:val="single"/>
    </w:rPr>
  </w:style>
  <w:style w:type="paragraph" w:styleId="BodyText">
    <w:name w:val="Body Text"/>
    <w:basedOn w:val="Normal"/>
    <w:link w:val="BodyTextChar"/>
    <w:uiPriority w:val="99"/>
    <w:rsid w:val="00474CF8"/>
    <w:pPr>
      <w:spacing w:after="120"/>
    </w:pPr>
    <w:rPr>
      <w:rFonts w:ascii="Verdana" w:hAnsi="Verdana" w:cs="Verdana"/>
    </w:rPr>
  </w:style>
  <w:style w:type="character" w:customStyle="1" w:styleId="BodyTextChar">
    <w:name w:val="Body Text Char"/>
    <w:basedOn w:val="DefaultParagraphFont"/>
    <w:link w:val="BodyText"/>
    <w:uiPriority w:val="99"/>
    <w:rsid w:val="00474CF8"/>
    <w:rPr>
      <w:rFonts w:ascii="Verdana" w:hAnsi="Verdana" w:cs="Verdana"/>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538</Words>
  <Characters>3396</Characters>
  <Application>Microsoft Office Outlook</Application>
  <DocSecurity>0</DocSecurity>
  <Lines>0</Lines>
  <Paragraphs>0</Paragraphs>
  <ScaleCrop>false</ScaleCrop>
  <Company>IBG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UNTERWEISUNG NADELSTICH</dc:title>
  <dc:subject/>
  <dc:creator>s.litschka</dc:creator>
  <cp:keywords/>
  <dc:description/>
  <cp:lastModifiedBy>tuerk</cp:lastModifiedBy>
  <cp:revision>2</cp:revision>
  <dcterms:created xsi:type="dcterms:W3CDTF">2014-06-05T09:40:00Z</dcterms:created>
  <dcterms:modified xsi:type="dcterms:W3CDTF">2014-06-05T09:40:00Z</dcterms:modified>
</cp:coreProperties>
</file>