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Ind w:w="-106" w:type="dxa"/>
        <w:tblBorders>
          <w:top w:val="single" w:sz="48" w:space="0" w:color="0070C0"/>
          <w:left w:val="single" w:sz="48" w:space="0" w:color="0070C0"/>
          <w:bottom w:val="single" w:sz="48" w:space="0" w:color="0070C0"/>
          <w:right w:val="single" w:sz="48" w:space="0" w:color="0070C0"/>
          <w:insideH w:val="single" w:sz="24" w:space="0" w:color="0070C0"/>
        </w:tblBorders>
        <w:tblLook w:val="00A0"/>
      </w:tblPr>
      <w:tblGrid>
        <w:gridCol w:w="1459"/>
        <w:gridCol w:w="597"/>
        <w:gridCol w:w="5500"/>
        <w:gridCol w:w="2272"/>
      </w:tblGrid>
      <w:tr w:rsidR="00E41D2E" w:rsidRPr="00B27433" w:rsidTr="00CE4D47">
        <w:tc>
          <w:tcPr>
            <w:tcW w:w="2056" w:type="dxa"/>
            <w:gridSpan w:val="2"/>
            <w:tcBorders>
              <w:top w:val="single" w:sz="48" w:space="0" w:color="0070C0"/>
            </w:tcBorders>
            <w:vAlign w:val="center"/>
          </w:tcPr>
          <w:p w:rsidR="00E41D2E" w:rsidRPr="00B27433" w:rsidRDefault="00E41D2E" w:rsidP="00F84A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33">
              <w:object w:dxaOrig="120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7pt" o:ole="">
                  <v:imagedata r:id="rId5" o:title=""/>
                </v:shape>
                <o:OLEObject Type="Embed" ProgID="Paint.Picture" ShapeID="_x0000_i1025" DrawAspect="Content" ObjectID="_1463482196" r:id="rId6"/>
              </w:object>
            </w:r>
          </w:p>
        </w:tc>
        <w:tc>
          <w:tcPr>
            <w:tcW w:w="5500" w:type="dxa"/>
            <w:tcBorders>
              <w:top w:val="single" w:sz="48" w:space="0" w:color="0070C0"/>
            </w:tcBorders>
            <w:vAlign w:val="center"/>
          </w:tcPr>
          <w:p w:rsidR="00E41D2E" w:rsidRPr="00B27433" w:rsidRDefault="00E41D2E" w:rsidP="00F84A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E41D2E" w:rsidRPr="00B27433" w:rsidRDefault="00E41D2E" w:rsidP="00F84A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33">
              <w:rPr>
                <w:rFonts w:ascii="Arial" w:hAnsi="Arial" w:cs="Arial"/>
                <w:b/>
                <w:bCs/>
                <w:sz w:val="36"/>
                <w:szCs w:val="36"/>
              </w:rPr>
              <w:t>Betriebsanweisung</w:t>
            </w:r>
            <w:r w:rsidRPr="00B2743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27433">
              <w:rPr>
                <w:rFonts w:ascii="Arial" w:hAnsi="Arial" w:cs="Arial"/>
                <w:sz w:val="32"/>
                <w:szCs w:val="32"/>
              </w:rPr>
              <w:br/>
            </w:r>
            <w:r w:rsidRPr="00B27433">
              <w:rPr>
                <w:rFonts w:ascii="Arial" w:hAnsi="Arial" w:cs="Arial"/>
                <w:sz w:val="24"/>
                <w:szCs w:val="24"/>
              </w:rPr>
              <w:t>für das Arbeiten auf</w:t>
            </w:r>
            <w:r w:rsidRPr="00B27433">
              <w:rPr>
                <w:rFonts w:ascii="Arial" w:hAnsi="Arial" w:cs="Arial"/>
                <w:sz w:val="32"/>
                <w:szCs w:val="32"/>
              </w:rPr>
              <w:br/>
            </w:r>
            <w:r w:rsidRPr="00B27433">
              <w:rPr>
                <w:rFonts w:ascii="Arial" w:hAnsi="Arial" w:cs="Arial"/>
                <w:b/>
                <w:bCs/>
                <w:sz w:val="32"/>
                <w:szCs w:val="32"/>
              </w:rPr>
              <w:t>Laminar Air Flow</w:t>
            </w:r>
          </w:p>
        </w:tc>
        <w:tc>
          <w:tcPr>
            <w:tcW w:w="2272" w:type="dxa"/>
            <w:tcBorders>
              <w:top w:val="single" w:sz="48" w:space="0" w:color="0070C0"/>
            </w:tcBorders>
            <w:vAlign w:val="center"/>
          </w:tcPr>
          <w:p w:rsidR="00E41D2E" w:rsidRPr="00B27433" w:rsidRDefault="00E41D2E" w:rsidP="00F84A4B">
            <w:pPr>
              <w:spacing w:after="0" w:line="24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E41D2E" w:rsidRPr="00B27433" w:rsidRDefault="00E41D2E" w:rsidP="00F84A4B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7433">
              <w:rPr>
                <w:rFonts w:ascii="Arial" w:hAnsi="Arial" w:cs="Arial"/>
                <w:b/>
                <w:bCs/>
                <w:sz w:val="20"/>
                <w:szCs w:val="20"/>
              </w:rPr>
              <w:t>Universität für Bodenkultur</w:t>
            </w:r>
          </w:p>
          <w:p w:rsidR="00E41D2E" w:rsidRPr="00B27433" w:rsidRDefault="00E41D2E" w:rsidP="00F84A4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41D2E" w:rsidRPr="00B27433" w:rsidRDefault="00E41D2E" w:rsidP="00F84A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433">
              <w:rPr>
                <w:rFonts w:ascii="Arial" w:hAnsi="Arial" w:cs="Arial"/>
                <w:sz w:val="20"/>
                <w:szCs w:val="20"/>
              </w:rPr>
              <w:t>30.04.2014</w:t>
            </w:r>
          </w:p>
        </w:tc>
        <w:bookmarkStart w:id="0" w:name="_GoBack"/>
        <w:bookmarkEnd w:id="0"/>
      </w:tr>
      <w:tr w:rsidR="00E41D2E" w:rsidRPr="00B27433" w:rsidTr="00CE4D47">
        <w:tc>
          <w:tcPr>
            <w:tcW w:w="9828" w:type="dxa"/>
            <w:gridSpan w:val="4"/>
            <w:shd w:val="clear" w:color="auto" w:fill="0070C0"/>
            <w:vAlign w:val="center"/>
          </w:tcPr>
          <w:p w:rsidR="00E41D2E" w:rsidRPr="00B27433" w:rsidRDefault="00E41D2E" w:rsidP="00F84A4B">
            <w:pPr>
              <w:spacing w:after="0" w:line="240" w:lineRule="auto"/>
              <w:rPr>
                <w:rFonts w:ascii="Arial" w:hAnsi="Arial" w:cs="Arial"/>
                <w:color w:val="FFFF00"/>
              </w:rPr>
            </w:pPr>
            <w:r w:rsidRPr="00B27433">
              <w:rPr>
                <w:rFonts w:ascii="Arial" w:hAnsi="Arial" w:cs="Arial"/>
                <w:color w:val="FFFF00"/>
                <w:sz w:val="28"/>
                <w:szCs w:val="28"/>
              </w:rPr>
              <w:t>GEFAHREN FÜR MENSCH UND UMWELT</w:t>
            </w:r>
          </w:p>
        </w:tc>
      </w:tr>
      <w:tr w:rsidR="00E41D2E" w:rsidRPr="00B27433" w:rsidTr="00CE4D47">
        <w:tc>
          <w:tcPr>
            <w:tcW w:w="1459" w:type="dxa"/>
            <w:vAlign w:val="center"/>
          </w:tcPr>
          <w:p w:rsidR="00E41D2E" w:rsidRPr="00B27433" w:rsidRDefault="00E41D2E" w:rsidP="00F84A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Grafik 3" o:spid="_x0000_s1026" type="#_x0000_t75" style="position:absolute;margin-left:11.75pt;margin-top:7.4pt;width:39.4pt;height:34.6pt;z-index:251658752;visibility:visible;mso-position-horizontal-relative:text;mso-position-vertical-relative:text">
                  <v:imagedata r:id="rId7" o:title=""/>
                </v:shape>
              </w:pict>
            </w:r>
          </w:p>
          <w:p w:rsidR="00E41D2E" w:rsidRPr="00B27433" w:rsidRDefault="00E41D2E" w:rsidP="00F84A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69" w:type="dxa"/>
            <w:gridSpan w:val="3"/>
            <w:vAlign w:val="center"/>
          </w:tcPr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line="276" w:lineRule="auto"/>
              <w:ind w:left="74" w:right="284" w:hanging="177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  <w:lang w:val="de-AT"/>
              </w:rPr>
              <w:t>Gefahr einer Explosion bzw. eines Brandes bei Freisetzung brennbarer Gase, oder Flüssigkeiten (z.B. Ethanol, beim Umleeren oder Wischdesinfektion!)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right="28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  <w:lang w:val="de-AT"/>
              </w:rPr>
              <w:t>Gefahr der Verletzung/Verbrennung durch Verspritzen von Gefahrstoffen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right="28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Gefahr durch Kontamination mit Mikroorganismen (</w:t>
            </w:r>
            <w:r w:rsidRPr="00B27433">
              <w:rPr>
                <w:sz w:val="20"/>
                <w:szCs w:val="20"/>
                <w:lang w:val="de-AT"/>
              </w:rPr>
              <w:t>Einatmen von Pilzsporen, wenn stark sporulierende Kulturen geöffnet werden)!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  <w:lang w:val="de-AT" w:eastAsia="de-AT"/>
              </w:rPr>
            </w:pPr>
            <w:r w:rsidRPr="00B27433">
              <w:rPr>
                <w:sz w:val="20"/>
                <w:szCs w:val="20"/>
              </w:rPr>
              <w:t>Gefahr durch Austritt von gesundheitsschädlichen Dämpfen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  <w:lang w:val="de-AT" w:eastAsia="de-AT"/>
              </w:rPr>
            </w:pPr>
            <w:r w:rsidRPr="00B27433">
              <w:rPr>
                <w:sz w:val="20"/>
                <w:szCs w:val="20"/>
                <w:lang w:val="de-AT" w:eastAsia="de-AT"/>
              </w:rPr>
              <w:t>Gefahr der Verbrennung durch ausgeglühte Impfnadeln, Skalpelle etc.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after="120" w:line="240" w:lineRule="auto"/>
              <w:ind w:left="74" w:hanging="176"/>
              <w:jc w:val="left"/>
            </w:pPr>
            <w:r w:rsidRPr="00B27433">
              <w:rPr>
                <w:sz w:val="20"/>
                <w:szCs w:val="20"/>
              </w:rPr>
              <w:t xml:space="preserve">Gefahr durch splitterndes Glas, z.B. wenn Kulturröhrchen beim Abflammen zerspringen </w:t>
            </w:r>
          </w:p>
        </w:tc>
      </w:tr>
      <w:tr w:rsidR="00E41D2E" w:rsidRPr="00B27433" w:rsidTr="00CE4D47">
        <w:tc>
          <w:tcPr>
            <w:tcW w:w="9828" w:type="dxa"/>
            <w:gridSpan w:val="4"/>
            <w:shd w:val="clear" w:color="auto" w:fill="0070C0"/>
            <w:vAlign w:val="center"/>
          </w:tcPr>
          <w:p w:rsidR="00E41D2E" w:rsidRPr="00B27433" w:rsidRDefault="00E41D2E" w:rsidP="00F84A4B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B27433">
              <w:rPr>
                <w:rFonts w:ascii="Arial" w:hAnsi="Arial" w:cs="Arial"/>
                <w:color w:val="FFFF00"/>
                <w:sz w:val="28"/>
                <w:szCs w:val="28"/>
              </w:rPr>
              <w:t>SCHUTZMASSNAHMEN, VERBOTE UND VERHALTENSREGELN</w:t>
            </w:r>
          </w:p>
        </w:tc>
      </w:tr>
      <w:tr w:rsidR="00E41D2E" w:rsidRPr="00B27433" w:rsidTr="00CE4D47">
        <w:tc>
          <w:tcPr>
            <w:tcW w:w="1459" w:type="dxa"/>
            <w:vAlign w:val="center"/>
          </w:tcPr>
          <w:p w:rsidR="00E41D2E" w:rsidRPr="00B27433" w:rsidRDefault="00E41D2E" w:rsidP="00F84A4B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pict>
                <v:shape id="Grafik 4" o:spid="_x0000_s1027" type="#_x0000_t75" style="position:absolute;margin-left:13.1pt;margin-top:5.65pt;width:35.3pt;height:35.3pt;z-index:251659776;visibility:visible;mso-position-horizontal-relative:text;mso-position-vertical-relative:text">
                  <v:imagedata r:id="rId8" o:title=""/>
                </v:shape>
              </w:pict>
            </w:r>
          </w:p>
          <w:p w:rsidR="00E41D2E" w:rsidRPr="00B27433" w:rsidRDefault="00E41D2E" w:rsidP="00F84A4B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</w:p>
          <w:p w:rsidR="00E41D2E" w:rsidRPr="00B27433" w:rsidRDefault="00E41D2E" w:rsidP="00F84A4B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</w:p>
          <w:p w:rsidR="00E41D2E" w:rsidRPr="00B27433" w:rsidRDefault="00E41D2E" w:rsidP="00F84A4B">
            <w:pPr>
              <w:spacing w:after="0" w:line="240" w:lineRule="auto"/>
              <w:ind w:right="742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pict>
                <v:shape id="Grafik 2" o:spid="_x0000_s1028" type="#_x0000_t75" style="position:absolute;margin-left:12.4pt;margin-top:9.6pt;width:38.7pt;height:38.7pt;z-index:251657728;visibility:visible">
                  <v:imagedata r:id="rId9" o:title=""/>
                </v:shape>
              </w:pict>
            </w:r>
            <w:r>
              <w:rPr>
                <w:noProof/>
              </w:rPr>
              <w:pict>
                <v:shape id="Grafik 13" o:spid="_x0000_s1029" type="#_x0000_t75" alt="G1113_0_Gebrauchsanweisung_beachten.jpg" style="position:absolute;margin-left:9pt;margin-top:71.8pt;width:47.75pt;height:35.4pt;z-index:251656704;visibility:visible" wrapcoords="-338 0 -338 21140 21600 21140 21600 0 -338 0">
                  <v:imagedata r:id="rId10" o:title="" blacklevel="3277f"/>
                  <w10:wrap type="through"/>
                </v:shape>
              </w:pict>
            </w:r>
          </w:p>
        </w:tc>
        <w:tc>
          <w:tcPr>
            <w:tcW w:w="8369" w:type="dxa"/>
            <w:gridSpan w:val="3"/>
            <w:vAlign w:val="center"/>
          </w:tcPr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line="240" w:lineRule="auto"/>
              <w:ind w:left="74" w:hanging="177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Geeignete Labormäntel und Schutzhandschuhe tragen!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Für Arbeiten mit stark sporulierenden Kulturen Feinstaubmaske (Klasse FFP3) tragen</w:t>
            </w:r>
          </w:p>
          <w:p w:rsidR="00E41D2E" w:rsidRPr="00B27433" w:rsidRDefault="00E41D2E" w:rsidP="00CE4D47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Das Gerät darf nicht ohne vorherige Einweisung bedient werden.</w:t>
            </w:r>
            <w:r>
              <w:rPr>
                <w:sz w:val="20"/>
                <w:szCs w:val="20"/>
              </w:rPr>
              <w:t xml:space="preserve"> </w:t>
            </w:r>
            <w:r w:rsidRPr="00B27433">
              <w:rPr>
                <w:sz w:val="20"/>
                <w:szCs w:val="20"/>
              </w:rPr>
              <w:t xml:space="preserve">Gerät einschalten. Den Innenraum der Werkbank mit einem geeigneten Desinfektionsmittel (70 % Ethanol) auswischen und mind. 10 Min. vor Beginn der Arbeiten laufen lassen. Durchzug bzw. Sogeffekte im Arbeitsbereich vermeiden, d.h. Türen und Fenster schließen. 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 xml:space="preserve">Frontscheibe außer bei Aufbauarbeiten oder notwendigen Arbeiten an Geräten und Apparaturen immer heruntergeklappt halten. 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Nicht in die Reinraumwerkbank hineinlehnen, keine hektischen Bewegungen machen!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Arbeiten nur auf der ausgewiesenen Arbeitsfläche ausführen und diese nicht überfüllen. Die rückwärtigen Luftaustrittsöffnungen müssen frei bleiben!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Keine Lagerung von Arbeitsmitteln oder Chemikalien in der Reinraumwerkbank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Keine kontaminierten Materialien in die Werkbank stellen.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 xml:space="preserve">Wenn möglich, nicht mit entzündlichen/explosiven Stoffen arbeiten. 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KEINE Arbeit mit Giften, diese müssen im Digestorium durchgeführt werden!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 xml:space="preserve">Abflammen nur, wenn sich keine entzündlichen Stoffe in der Werkbank befinden! 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Nur mit Sicherheitsbrenner arbeiten und thermische Lasten so gering wie möglich halten!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noProof/>
              </w:rPr>
            </w:pPr>
            <w:r w:rsidRPr="00B27433">
              <w:rPr>
                <w:sz w:val="20"/>
                <w:szCs w:val="20"/>
              </w:rPr>
              <w:t>Nach Beendigung aller Arbeiten und vor dem Abschalten des Geräts alle offenen Gefäße schließen und alle nicht mehr benötigten Materialien aus der Reinraumwerk-bank entfernen. Arbeitsflächen mit einem geeigneten Desinfektionsmittel (70 % Ethanol) auswischen.</w:t>
            </w:r>
          </w:p>
        </w:tc>
      </w:tr>
      <w:tr w:rsidR="00E41D2E" w:rsidRPr="00B27433" w:rsidTr="00CE4D47">
        <w:tc>
          <w:tcPr>
            <w:tcW w:w="9828" w:type="dxa"/>
            <w:gridSpan w:val="4"/>
            <w:shd w:val="clear" w:color="auto" w:fill="0070C0"/>
            <w:vAlign w:val="center"/>
          </w:tcPr>
          <w:p w:rsidR="00E41D2E" w:rsidRPr="00B27433" w:rsidRDefault="00E41D2E" w:rsidP="00F84A4B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B27433">
              <w:rPr>
                <w:rFonts w:ascii="Arial" w:hAnsi="Arial" w:cs="Arial"/>
                <w:color w:val="FFFF00"/>
                <w:sz w:val="28"/>
                <w:szCs w:val="28"/>
              </w:rPr>
              <w:t>VERHALTEN BEI STÖRUNGEN</w:t>
            </w:r>
          </w:p>
        </w:tc>
      </w:tr>
      <w:tr w:rsidR="00E41D2E" w:rsidRPr="00B27433" w:rsidTr="00CE4D47">
        <w:trPr>
          <w:trHeight w:val="738"/>
        </w:trPr>
        <w:tc>
          <w:tcPr>
            <w:tcW w:w="1459" w:type="dxa"/>
            <w:vAlign w:val="center"/>
          </w:tcPr>
          <w:p w:rsidR="00E41D2E" w:rsidRPr="00B27433" w:rsidRDefault="00E41D2E" w:rsidP="00F84A4B">
            <w:pPr>
              <w:pStyle w:val="ListParagraph"/>
              <w:spacing w:after="0" w:line="240" w:lineRule="auto"/>
              <w:ind w:right="52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69" w:type="dxa"/>
            <w:gridSpan w:val="3"/>
            <w:vAlign w:val="center"/>
          </w:tcPr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Bei technischem Defekt Gerät ausschalten und Störung melden an den Vorgesetzten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Im Brandfall das Feuer mit Kohlendioxid-Löscher bekämpfen, Personenbrand mit Feuerlöschdecke löschen.</w:t>
            </w:r>
          </w:p>
        </w:tc>
      </w:tr>
      <w:tr w:rsidR="00E41D2E" w:rsidRPr="00B27433" w:rsidTr="00CE4D47">
        <w:tc>
          <w:tcPr>
            <w:tcW w:w="9828" w:type="dxa"/>
            <w:gridSpan w:val="4"/>
            <w:shd w:val="clear" w:color="auto" w:fill="0070C0"/>
            <w:vAlign w:val="center"/>
          </w:tcPr>
          <w:p w:rsidR="00E41D2E" w:rsidRPr="00B27433" w:rsidRDefault="00E41D2E" w:rsidP="00F84A4B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B27433">
              <w:rPr>
                <w:rFonts w:ascii="Arial" w:hAnsi="Arial" w:cs="Arial"/>
                <w:color w:val="FFFF00"/>
                <w:sz w:val="28"/>
                <w:szCs w:val="28"/>
              </w:rPr>
              <w:t>ERSTE HILFE</w:t>
            </w:r>
          </w:p>
        </w:tc>
      </w:tr>
      <w:tr w:rsidR="00E41D2E" w:rsidRPr="00B27433" w:rsidTr="00CE4D47">
        <w:tc>
          <w:tcPr>
            <w:tcW w:w="1459" w:type="dxa"/>
            <w:vAlign w:val="center"/>
          </w:tcPr>
          <w:p w:rsidR="00E41D2E" w:rsidRPr="00B27433" w:rsidRDefault="00E41D2E" w:rsidP="00F84A4B">
            <w:pPr>
              <w:spacing w:after="0" w:line="240" w:lineRule="auto"/>
              <w:ind w:right="614"/>
              <w:rPr>
                <w:rFonts w:ascii="Arial" w:hAnsi="Arial" w:cs="Arial"/>
              </w:rPr>
            </w:pPr>
            <w:r>
              <w:rPr>
                <w:noProof/>
              </w:rPr>
              <w:pict>
                <v:shape id="Bild 14" o:spid="_x0000_s1030" type="#_x0000_t75" alt="https://encrypted-tbn2.gstatic.com/images?q=tbn:ANd9GcQNVczHfcrKDNYhIIc2kyWBkdgNg2cGEjNM06hjUln5JbFDsLH-59ml1Z4t" style="position:absolute;margin-left:16.3pt;margin-top:12.95pt;width:36.35pt;height:34.85pt;z-index:-251660800;visibility:visible;mso-position-horizontal-relative:text;mso-position-vertical-relative:text" wrapcoords="-450 0 -450 21130 21600 21130 21600 0 -450 0">
                  <v:imagedata r:id="rId11" o:title=""/>
                  <w10:wrap type="tight"/>
                </v:shape>
              </w:pict>
            </w:r>
          </w:p>
        </w:tc>
        <w:tc>
          <w:tcPr>
            <w:tcW w:w="8369" w:type="dxa"/>
            <w:gridSpan w:val="3"/>
            <w:vAlign w:val="center"/>
          </w:tcPr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line="276" w:lineRule="auto"/>
              <w:ind w:left="74" w:hanging="177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Verletzten aus Gefahrenbereich retten und evtl. Feuer löschen.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 xml:space="preserve">Ersthelfer und ggf. Notarzt verständigen NOTRUF: 144, interner Notruf: 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 xml:space="preserve">Erste Hilfe leisten 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</w:pPr>
            <w:r w:rsidRPr="00B27433">
              <w:rPr>
                <w:sz w:val="20"/>
                <w:szCs w:val="20"/>
              </w:rPr>
              <w:t>Gerät stromlos schalten (Netzstecker ziehen).</w:t>
            </w:r>
          </w:p>
        </w:tc>
      </w:tr>
      <w:tr w:rsidR="00E41D2E" w:rsidRPr="00B27433" w:rsidTr="00CE4D47">
        <w:tc>
          <w:tcPr>
            <w:tcW w:w="9828" w:type="dxa"/>
            <w:gridSpan w:val="4"/>
            <w:shd w:val="clear" w:color="auto" w:fill="0070C0"/>
            <w:vAlign w:val="center"/>
          </w:tcPr>
          <w:p w:rsidR="00E41D2E" w:rsidRPr="00B27433" w:rsidRDefault="00E41D2E" w:rsidP="00F84A4B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B27433">
              <w:rPr>
                <w:rFonts w:ascii="Arial" w:hAnsi="Arial" w:cs="Arial"/>
                <w:color w:val="FFFF00"/>
                <w:sz w:val="28"/>
                <w:szCs w:val="28"/>
              </w:rPr>
              <w:t>REINIGUNG, INSTANDSETZUNG, ENTSORGUNG</w:t>
            </w:r>
          </w:p>
        </w:tc>
      </w:tr>
      <w:tr w:rsidR="00E41D2E" w:rsidRPr="00B27433" w:rsidTr="00CE4D47">
        <w:tc>
          <w:tcPr>
            <w:tcW w:w="1459" w:type="dxa"/>
            <w:vAlign w:val="center"/>
          </w:tcPr>
          <w:p w:rsidR="00E41D2E" w:rsidRPr="00B27433" w:rsidRDefault="00E41D2E" w:rsidP="00F84A4B">
            <w:pPr>
              <w:pStyle w:val="ListParagraph"/>
              <w:spacing w:after="0" w:line="240" w:lineRule="auto"/>
              <w:ind w:right="472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369" w:type="dxa"/>
            <w:gridSpan w:val="3"/>
            <w:vAlign w:val="center"/>
          </w:tcPr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line="276" w:lineRule="auto"/>
              <w:ind w:left="74" w:hanging="177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Reinraumwerkbänke sind jährlich durch einen Fachkundigen prüfen zu lassen.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Vorfilter und Hauptfilter in regelmäßigen Abständen wechseln (vgl. Betriebsanleitung)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Für die Instandhaltung dürfen nur Ersatzteile verwendet werden, die in Werkstoff und Gestaltung den Originalteilen entsprechen.</w:t>
            </w:r>
          </w:p>
          <w:p w:rsidR="00E41D2E" w:rsidRPr="00B27433" w:rsidRDefault="00E41D2E" w:rsidP="00F84A4B">
            <w:pPr>
              <w:pStyle w:val="Tabelle"/>
              <w:numPr>
                <w:ilvl w:val="0"/>
                <w:numId w:val="14"/>
              </w:numPr>
              <w:spacing w:before="0" w:line="276" w:lineRule="auto"/>
              <w:ind w:left="74" w:hanging="176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B27433">
              <w:rPr>
                <w:sz w:val="20"/>
                <w:szCs w:val="20"/>
              </w:rPr>
              <w:t>Kontaminiertes Arbeitsmaterial in geeignetem Behältnis sammeln und autoklavieren.</w:t>
            </w:r>
          </w:p>
        </w:tc>
      </w:tr>
      <w:tr w:rsidR="00E41D2E" w:rsidRPr="00B27433" w:rsidTr="00CE4D47">
        <w:tc>
          <w:tcPr>
            <w:tcW w:w="9828" w:type="dxa"/>
            <w:gridSpan w:val="4"/>
            <w:shd w:val="clear" w:color="auto" w:fill="0070C0"/>
            <w:vAlign w:val="center"/>
          </w:tcPr>
          <w:p w:rsidR="00E41D2E" w:rsidRPr="00B27433" w:rsidRDefault="00E41D2E" w:rsidP="00F84A4B">
            <w:pPr>
              <w:spacing w:after="0" w:line="240" w:lineRule="auto"/>
              <w:rPr>
                <w:rFonts w:ascii="Arial" w:hAnsi="Arial" w:cs="Arial"/>
                <w:color w:val="FFFF00"/>
                <w:sz w:val="28"/>
                <w:szCs w:val="28"/>
              </w:rPr>
            </w:pPr>
            <w:r w:rsidRPr="00B27433">
              <w:rPr>
                <w:rFonts w:ascii="Arial" w:hAnsi="Arial" w:cs="Arial"/>
                <w:color w:val="FFFF00"/>
                <w:sz w:val="28"/>
                <w:szCs w:val="28"/>
              </w:rPr>
              <w:t>VERANTWORTLICHER</w:t>
            </w:r>
          </w:p>
        </w:tc>
      </w:tr>
      <w:tr w:rsidR="00E41D2E" w:rsidRPr="00B27433" w:rsidTr="00CE4D47">
        <w:tc>
          <w:tcPr>
            <w:tcW w:w="9828" w:type="dxa"/>
            <w:gridSpan w:val="4"/>
            <w:tcBorders>
              <w:bottom w:val="single" w:sz="48" w:space="0" w:color="0070C0"/>
            </w:tcBorders>
            <w:vAlign w:val="center"/>
          </w:tcPr>
          <w:p w:rsidR="00E41D2E" w:rsidRPr="00B27433" w:rsidRDefault="00E41D2E" w:rsidP="00F84A4B">
            <w:p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" w:hAnsi="Arial" w:cs="Arial"/>
              </w:rPr>
            </w:pPr>
          </w:p>
        </w:tc>
      </w:tr>
    </w:tbl>
    <w:p w:rsidR="00E41D2E" w:rsidRPr="00CE2604" w:rsidRDefault="00E41D2E" w:rsidP="00CE2604">
      <w:pPr>
        <w:jc w:val="right"/>
        <w:rPr>
          <w:rFonts w:ascii="Arial Narrow" w:hAnsi="Arial Narrow" w:cs="Arial Narrow"/>
          <w:sz w:val="16"/>
          <w:szCs w:val="16"/>
        </w:rPr>
      </w:pPr>
      <w:bookmarkStart w:id="1" w:name="_PictureBullets"/>
      <w:r w:rsidRPr="00992C80">
        <w:rPr>
          <w:vanish/>
        </w:rPr>
        <w:pict>
          <v:shape id="_x0000_i1026" type="#_x0000_t75" alt="W20.BMP" style="width:19.5pt;height:17.25pt;visibility:visible" o:bullet="t">
            <v:imagedata r:id="rId12" o:title=""/>
          </v:shape>
        </w:pict>
      </w:r>
      <w:bookmarkEnd w:id="1"/>
    </w:p>
    <w:sectPr w:rsidR="00E41D2E" w:rsidRPr="00CE2604" w:rsidSect="00F84A4B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2A4"/>
    <w:multiLevelType w:val="hybridMultilevel"/>
    <w:tmpl w:val="8312E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815782"/>
    <w:multiLevelType w:val="hybridMultilevel"/>
    <w:tmpl w:val="B1EAEDEA"/>
    <w:lvl w:ilvl="0" w:tplc="0C070001">
      <w:start w:val="1"/>
      <w:numFmt w:val="bullet"/>
      <w:lvlText w:val=""/>
      <w:lvlJc w:val="left"/>
      <w:pPr>
        <w:ind w:left="2112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552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4272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712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6432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872" w:hanging="360"/>
      </w:pPr>
      <w:rPr>
        <w:rFonts w:ascii="Wingdings" w:hAnsi="Wingdings" w:cs="Wingdings" w:hint="default"/>
      </w:rPr>
    </w:lvl>
  </w:abstractNum>
  <w:abstractNum w:abstractNumId="2">
    <w:nsid w:val="18842AC6"/>
    <w:multiLevelType w:val="singleLevel"/>
    <w:tmpl w:val="B220142C"/>
    <w:lvl w:ilvl="0">
      <w:start w:val="1"/>
      <w:numFmt w:val="bullet"/>
      <w:pStyle w:val="Tabelle"/>
      <w:lvlText w:val=""/>
      <w:lvlJc w:val="left"/>
      <w:pPr>
        <w:tabs>
          <w:tab w:val="num" w:pos="502"/>
        </w:tabs>
        <w:ind w:left="284" w:hanging="142"/>
      </w:pPr>
      <w:rPr>
        <w:rFonts w:ascii="Symbol" w:hAnsi="Symbol" w:cs="Symbol" w:hint="default"/>
        <w:color w:val="0000FF"/>
      </w:rPr>
    </w:lvl>
  </w:abstractNum>
  <w:abstractNum w:abstractNumId="3">
    <w:nsid w:val="19B15057"/>
    <w:multiLevelType w:val="hybridMultilevel"/>
    <w:tmpl w:val="B97C7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CF14DC"/>
    <w:multiLevelType w:val="hybridMultilevel"/>
    <w:tmpl w:val="D2AEEFDE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5">
    <w:nsid w:val="4A224465"/>
    <w:multiLevelType w:val="hybridMultilevel"/>
    <w:tmpl w:val="3DF8C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CF33C3"/>
    <w:multiLevelType w:val="hybridMultilevel"/>
    <w:tmpl w:val="DBF26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7050BE"/>
    <w:multiLevelType w:val="hybridMultilevel"/>
    <w:tmpl w:val="9EFA8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0373DF"/>
    <w:multiLevelType w:val="hybridMultilevel"/>
    <w:tmpl w:val="21E474F0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9">
    <w:nsid w:val="589B690F"/>
    <w:multiLevelType w:val="hybridMultilevel"/>
    <w:tmpl w:val="F0BE72A2"/>
    <w:lvl w:ilvl="0" w:tplc="3F32C980">
      <w:numFmt w:val="bullet"/>
      <w:lvlText w:val="•"/>
      <w:lvlJc w:val="left"/>
      <w:pPr>
        <w:ind w:left="1752" w:hanging="360"/>
      </w:pPr>
      <w:rPr>
        <w:rFonts w:ascii="Arial" w:eastAsia="Times New Roman" w:hAnsi="Arial" w:hint="default"/>
        <w:color w:val="000000"/>
      </w:rPr>
    </w:lvl>
    <w:lvl w:ilvl="1" w:tplc="0C07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192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ind w:left="3912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352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ind w:left="6072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512" w:hanging="360"/>
      </w:pPr>
      <w:rPr>
        <w:rFonts w:ascii="Wingdings" w:hAnsi="Wingdings" w:cs="Wingdings" w:hint="default"/>
      </w:rPr>
    </w:lvl>
  </w:abstractNum>
  <w:abstractNum w:abstractNumId="10">
    <w:nsid w:val="64124384"/>
    <w:multiLevelType w:val="hybridMultilevel"/>
    <w:tmpl w:val="E834B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981DB5"/>
    <w:multiLevelType w:val="hybridMultilevel"/>
    <w:tmpl w:val="D9C84F76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2">
    <w:nsid w:val="7F5C3331"/>
    <w:multiLevelType w:val="hybridMultilevel"/>
    <w:tmpl w:val="4D342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2"/>
  </w:num>
  <w:num w:numId="13">
    <w:abstractNumId w:val="1"/>
  </w:num>
  <w:num w:numId="14">
    <w:abstractNumId w:val="9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E59"/>
    <w:rsid w:val="0003355D"/>
    <w:rsid w:val="00036402"/>
    <w:rsid w:val="00037B14"/>
    <w:rsid w:val="000502A1"/>
    <w:rsid w:val="00071AD3"/>
    <w:rsid w:val="0009548F"/>
    <w:rsid w:val="000F3CE2"/>
    <w:rsid w:val="0013144C"/>
    <w:rsid w:val="00134332"/>
    <w:rsid w:val="00184ED1"/>
    <w:rsid w:val="001D194E"/>
    <w:rsid w:val="002215C5"/>
    <w:rsid w:val="00274B2A"/>
    <w:rsid w:val="0028016E"/>
    <w:rsid w:val="00292D6E"/>
    <w:rsid w:val="002B0D3E"/>
    <w:rsid w:val="002B481C"/>
    <w:rsid w:val="00315D65"/>
    <w:rsid w:val="00334AA5"/>
    <w:rsid w:val="00357A13"/>
    <w:rsid w:val="00377D93"/>
    <w:rsid w:val="0040687D"/>
    <w:rsid w:val="00415186"/>
    <w:rsid w:val="0049564F"/>
    <w:rsid w:val="0051608C"/>
    <w:rsid w:val="00525386"/>
    <w:rsid w:val="00530C46"/>
    <w:rsid w:val="00595723"/>
    <w:rsid w:val="005A1AEF"/>
    <w:rsid w:val="005A4CC0"/>
    <w:rsid w:val="005D2AC7"/>
    <w:rsid w:val="005D3520"/>
    <w:rsid w:val="0060389B"/>
    <w:rsid w:val="00643854"/>
    <w:rsid w:val="006456B3"/>
    <w:rsid w:val="00651EE9"/>
    <w:rsid w:val="006C4866"/>
    <w:rsid w:val="006D1F3E"/>
    <w:rsid w:val="006F231E"/>
    <w:rsid w:val="00704DE4"/>
    <w:rsid w:val="00764FD7"/>
    <w:rsid w:val="00784C61"/>
    <w:rsid w:val="00792DF5"/>
    <w:rsid w:val="007F7B65"/>
    <w:rsid w:val="00914114"/>
    <w:rsid w:val="009819E5"/>
    <w:rsid w:val="00992C80"/>
    <w:rsid w:val="009A7C2A"/>
    <w:rsid w:val="009C1064"/>
    <w:rsid w:val="009D7533"/>
    <w:rsid w:val="00A0067F"/>
    <w:rsid w:val="00A14C5E"/>
    <w:rsid w:val="00A8545B"/>
    <w:rsid w:val="00AF1E32"/>
    <w:rsid w:val="00AF6D35"/>
    <w:rsid w:val="00B06348"/>
    <w:rsid w:val="00B27433"/>
    <w:rsid w:val="00B33AD2"/>
    <w:rsid w:val="00B5369F"/>
    <w:rsid w:val="00BA383F"/>
    <w:rsid w:val="00BD284E"/>
    <w:rsid w:val="00BF7282"/>
    <w:rsid w:val="00C878D2"/>
    <w:rsid w:val="00CD23E7"/>
    <w:rsid w:val="00CE2604"/>
    <w:rsid w:val="00CE4D47"/>
    <w:rsid w:val="00D004F8"/>
    <w:rsid w:val="00D20B28"/>
    <w:rsid w:val="00D65471"/>
    <w:rsid w:val="00DC605B"/>
    <w:rsid w:val="00DE2E59"/>
    <w:rsid w:val="00E31DB3"/>
    <w:rsid w:val="00E41D2E"/>
    <w:rsid w:val="00E878C9"/>
    <w:rsid w:val="00EB2739"/>
    <w:rsid w:val="00F402BF"/>
    <w:rsid w:val="00F60E74"/>
    <w:rsid w:val="00F67E0D"/>
    <w:rsid w:val="00F84A4B"/>
    <w:rsid w:val="00FB3723"/>
    <w:rsid w:val="00FC356B"/>
    <w:rsid w:val="00FF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E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2E5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E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E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A383F"/>
    <w:pPr>
      <w:ind w:left="720"/>
    </w:pPr>
  </w:style>
  <w:style w:type="paragraph" w:customStyle="1" w:styleId="AAbsatz">
    <w:name w:val="^A Absatz"/>
    <w:basedOn w:val="Normal"/>
    <w:uiPriority w:val="99"/>
    <w:rsid w:val="00792DF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right" w:pos="8400"/>
      </w:tabs>
      <w:spacing w:before="160" w:after="0" w:line="320" w:lineRule="atLeast"/>
      <w:jc w:val="both"/>
    </w:pPr>
    <w:rPr>
      <w:rFonts w:cs="Times New Roman"/>
      <w:lang w:val="de-DE" w:eastAsia="de-DE"/>
    </w:rPr>
  </w:style>
  <w:style w:type="paragraph" w:customStyle="1" w:styleId="Tabelle">
    <w:name w:val="Tabelle"/>
    <w:basedOn w:val="Normal"/>
    <w:uiPriority w:val="99"/>
    <w:rsid w:val="00792DF5"/>
    <w:pPr>
      <w:numPr>
        <w:numId w:val="11"/>
      </w:numPr>
      <w:spacing w:before="120" w:after="0" w:line="320" w:lineRule="atLeast"/>
      <w:ind w:right="57"/>
      <w:jc w:val="both"/>
    </w:pPr>
    <w:rPr>
      <w:rFonts w:ascii="Arial" w:hAnsi="Arial" w:cs="Arial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428</Words>
  <Characters>2702</Characters>
  <Application>Microsoft Office Outlook</Application>
  <DocSecurity>0</DocSecurity>
  <Lines>0</Lines>
  <Paragraphs>0</Paragraphs>
  <ScaleCrop>false</ScaleCrop>
  <Company>Universität für Bodenkultur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</dc:creator>
  <cp:keywords/>
  <dc:description/>
  <cp:lastModifiedBy>tuerk</cp:lastModifiedBy>
  <cp:revision>4</cp:revision>
  <cp:lastPrinted>2013-10-21T15:19:00Z</cp:lastPrinted>
  <dcterms:created xsi:type="dcterms:W3CDTF">2014-05-03T18:16:00Z</dcterms:created>
  <dcterms:modified xsi:type="dcterms:W3CDTF">2014-06-05T12:04:00Z</dcterms:modified>
</cp:coreProperties>
</file>