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06" w:type="dxa"/>
        <w:tblBorders>
          <w:top w:val="single" w:sz="48" w:space="0" w:color="FD5C03"/>
          <w:left w:val="single" w:sz="48" w:space="0" w:color="FD5C03"/>
          <w:bottom w:val="single" w:sz="48" w:space="0" w:color="FD5C03"/>
          <w:right w:val="single" w:sz="48" w:space="0" w:color="FD5C03"/>
          <w:insideH w:val="single" w:sz="24" w:space="0" w:color="FD5C03"/>
        </w:tblBorders>
        <w:tblLook w:val="00A0"/>
      </w:tblPr>
      <w:tblGrid>
        <w:gridCol w:w="1634"/>
        <w:gridCol w:w="297"/>
        <w:gridCol w:w="5413"/>
        <w:gridCol w:w="2545"/>
      </w:tblGrid>
      <w:tr w:rsidR="004641A5" w:rsidRPr="00A838FA" w:rsidTr="009B1D46">
        <w:tc>
          <w:tcPr>
            <w:tcW w:w="1931" w:type="dxa"/>
            <w:gridSpan w:val="2"/>
            <w:tcBorders>
              <w:top w:val="single" w:sz="48" w:space="0" w:color="FD5C03"/>
            </w:tcBorders>
            <w:vAlign w:val="center"/>
          </w:tcPr>
          <w:p w:rsidR="004641A5" w:rsidRPr="00A838FA" w:rsidRDefault="004641A5" w:rsidP="00A838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8FA">
              <w:object w:dxaOrig="12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5" o:title=""/>
                </v:shape>
                <o:OLEObject Type="Embed" ProgID="Paint.Picture" ShapeID="_x0000_i1025" DrawAspect="Content" ObjectID="_1463482463" r:id="rId6"/>
              </w:object>
            </w:r>
          </w:p>
        </w:tc>
        <w:tc>
          <w:tcPr>
            <w:tcW w:w="5413" w:type="dxa"/>
            <w:tcBorders>
              <w:top w:val="single" w:sz="48" w:space="0" w:color="FD5C03"/>
            </w:tcBorders>
          </w:tcPr>
          <w:p w:rsidR="004641A5" w:rsidRPr="00A838FA" w:rsidRDefault="004641A5" w:rsidP="00A838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641A5" w:rsidRPr="00A838FA" w:rsidRDefault="004641A5" w:rsidP="00A838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sz w:val="36"/>
                <w:szCs w:val="36"/>
              </w:rPr>
              <w:t>Betriebsanweisung</w:t>
            </w:r>
            <w:r w:rsidRPr="00A838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838FA">
              <w:rPr>
                <w:rFonts w:ascii="Arial" w:hAnsi="Arial" w:cs="Arial"/>
                <w:sz w:val="32"/>
                <w:szCs w:val="32"/>
              </w:rPr>
              <w:br/>
            </w:r>
            <w:r w:rsidRPr="00A838FA">
              <w:rPr>
                <w:rFonts w:ascii="Arial" w:hAnsi="Arial" w:cs="Arial"/>
                <w:sz w:val="24"/>
                <w:szCs w:val="24"/>
              </w:rPr>
              <w:t xml:space="preserve">für das Arbeiten mit  </w:t>
            </w:r>
            <w:r w:rsidRPr="00A838FA">
              <w:rPr>
                <w:rFonts w:ascii="Arial" w:hAnsi="Arial" w:cs="Arial"/>
                <w:sz w:val="32"/>
                <w:szCs w:val="32"/>
              </w:rPr>
              <w:br/>
            </w:r>
            <w:r w:rsidRPr="00A838FA">
              <w:rPr>
                <w:rFonts w:ascii="Arial" w:hAnsi="Arial" w:cs="Arial"/>
                <w:b/>
                <w:bCs/>
                <w:sz w:val="32"/>
                <w:szCs w:val="32"/>
              </w:rPr>
              <w:t>Säuren und Laugen</w:t>
            </w:r>
          </w:p>
        </w:tc>
        <w:tc>
          <w:tcPr>
            <w:tcW w:w="2545" w:type="dxa"/>
            <w:tcBorders>
              <w:top w:val="single" w:sz="48" w:space="0" w:color="FD5C03"/>
            </w:tcBorders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641A5" w:rsidRPr="00A838FA" w:rsidRDefault="004641A5" w:rsidP="00A838F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sz w:val="20"/>
                <w:szCs w:val="20"/>
              </w:rPr>
              <w:t>Universität für Bodenkultur</w:t>
            </w:r>
          </w:p>
          <w:p w:rsidR="004641A5" w:rsidRPr="00A838FA" w:rsidRDefault="004641A5" w:rsidP="00A838F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641A5" w:rsidRPr="00A838FA" w:rsidRDefault="004641A5" w:rsidP="00A838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8FA"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GEFAHREN FÜR MENSCH UND UMWELT</w:t>
            </w:r>
          </w:p>
        </w:tc>
      </w:tr>
      <w:tr w:rsidR="004641A5" w:rsidRPr="00A838FA" w:rsidTr="009B1D46">
        <w:tc>
          <w:tcPr>
            <w:tcW w:w="1634" w:type="dxa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Grafik 16" o:spid="_x0000_s1026" type="#_x0000_t75" alt="W04.BMP" style="position:absolute;margin-left:14.3pt;margin-top:12.85pt;width:38.15pt;height:33.95pt;z-index:251654656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8255" w:type="dxa"/>
            <w:gridSpan w:val="3"/>
          </w:tcPr>
          <w:p w:rsidR="004641A5" w:rsidRPr="00A838FA" w:rsidRDefault="004641A5" w:rsidP="00A838FA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Gefahren für Mensch und Umwelt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Verursacht Reizungen und Verätzungen. Einatmen, Schlucken oder Aufnahme durch die Haut kann zu Gesundheitsschäden führen.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Gefährliche Reaktionen möglich.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Wassergefährdend:  Eindringen in Boden, Kanalisation und Gewässer vermeiden.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SCHUTZMASSNAHMEN, VERBOTE UND VERHALTENSREGELN</w:t>
            </w:r>
          </w:p>
        </w:tc>
      </w:tr>
      <w:tr w:rsidR="004641A5" w:rsidRPr="00A838FA" w:rsidTr="009B1D46">
        <w:tc>
          <w:tcPr>
            <w:tcW w:w="1634" w:type="dxa"/>
          </w:tcPr>
          <w:p w:rsidR="004641A5" w:rsidRPr="00A838FA" w:rsidRDefault="004641A5" w:rsidP="00A838FA">
            <w:pPr>
              <w:spacing w:after="0" w:line="240" w:lineRule="auto"/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Grafik 20" o:spid="_x0000_s1027" type="#_x0000_t75" alt="V16.BMP" style="position:absolute;left:0;text-align:left;margin-left:22.85pt;margin-top:248.55pt;width:30.85pt;height:31.65pt;z-index:25165670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Grafik 25" o:spid="_x0000_s1028" type="#_x0000_t75" alt="G01.BMP" style="position:absolute;left:0;text-align:left;margin-left:22.2pt;margin-top:156.2pt;width:28.9pt;height:31.15pt;z-index:251657728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shape id="Grafik 24" o:spid="_x0000_s1029" type="#_x0000_t75" alt="G06.BMP" style="position:absolute;left:0;text-align:left;margin-left:21.8pt;margin-top:116.1pt;width:28.9pt;height:30.4pt;z-index:251658752;visibility:visible;mso-position-horizontal-relative:text;mso-position-vertical-relative:text">
                  <v:imagedata r:id="rId10" o:title=""/>
                </v:shape>
              </w:pict>
            </w:r>
            <w:r>
              <w:rPr>
                <w:noProof/>
              </w:rPr>
              <w:pict>
                <v:shape id="Grafik 23" o:spid="_x0000_s1030" type="#_x0000_t75" alt="G05.BMP" style="position:absolute;left:0;text-align:left;margin-left:20.4pt;margin-top:74pt;width:30.4pt;height:31.9pt;z-index:251659776;visibility:visible;mso-position-horizontal-relative:text;mso-position-vertical-relative:text">
                  <v:imagedata r:id="rId11" o:title=""/>
                </v:shape>
              </w:pict>
            </w:r>
            <w:r>
              <w:rPr>
                <w:noProof/>
              </w:rPr>
              <w:pict>
                <v:shape id="Grafik 13" o:spid="_x0000_s1031" type="#_x0000_t75" alt="G1113_0_Gebrauchsanweisung_beachten.jpg" style="position:absolute;left:0;text-align:left;margin-left:11.75pt;margin-top:10.85pt;width:43.75pt;height:31.9pt;z-index:251653632;visibility:visible;mso-position-horizontal-relative:text;mso-position-vertical-relative:text">
                  <v:imagedata r:id="rId12" o:title="" blacklevel="3277f"/>
                </v:shape>
              </w:pict>
            </w:r>
            <w:r>
              <w:rPr>
                <w:noProof/>
              </w:rPr>
              <w:pict>
                <v:shape id="Grafik 22" o:spid="_x0000_s1032" type="#_x0000_t75" alt="V01.BMP" style="position:absolute;left:0;text-align:left;margin-left:20.95pt;margin-top:209.85pt;width:31.2pt;height:31.9pt;z-index:251655680;visibility:visible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8255" w:type="dxa"/>
            <w:gridSpan w:val="3"/>
          </w:tcPr>
          <w:p w:rsidR="004641A5" w:rsidRPr="00A838FA" w:rsidRDefault="004641A5" w:rsidP="00A838FA">
            <w:pPr>
              <w:autoSpaceDE w:val="0"/>
              <w:autoSpaceDN w:val="0"/>
              <w:adjustRightInd w:val="0"/>
              <w:spacing w:before="120"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Technische Schutzmaßnahmen und Verhaltensregeln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 w:right="1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Arbeitsstätte: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Für gute Be- und Entlüftung sorgen. 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 w:right="1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Ab-/Umfüllen: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Möglichst geringe Fallhöhe wählen oder Umfüllgefäße benutzen oder im geschlossenen System zuführen. Nur in gekennzeichnete Gefäße umfüllen. 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 w:right="1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Transport: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Gefäße geschlossen halten. Nur im Originalbehälter bzw. zugelassenen Behälter transportieren und beim Transport von zerbrechlichen Gefäßen geeignete Überbehälter benutzen.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 w:right="1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Lagerung: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nur in Lagerräumen oder Sicherheitsschränken. Zusammenlagerungsverbote beachten!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Organisatorische Schutzmaßnahmen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Arbeiten mit konzentrierten Säuren und Laugen nur im Digestorium. 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Nicht mehr als den Tagesbedarf am Arbeitsplatz und nicht über Kopf aufbewahren.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Schutz- bzw. Arbeitskleidung nicht mit Straßenkleidung zusammen aufbewahren.</w:t>
            </w:r>
          </w:p>
          <w:p w:rsidR="004641A5" w:rsidRPr="00A838FA" w:rsidRDefault="004641A5" w:rsidP="00A838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25" w:hanging="2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Informationen am Sicherheitsdatenblatt beachten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Persönliche Schutzmaßnahmen und Verhaltensregeln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Sicherheitsdatenblatt beachten!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Handschutz: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Schutzhandschuhe benutzen. 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Augenschutz: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IMMER</w:t>
            </w: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Schutzbrille gegen Spritzgefahr benutzen. 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Körperschutz: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Chemikalienbeständige Schutzkleidung tragen.</w:t>
            </w:r>
            <w:bookmarkStart w:id="0" w:name="_GoBack"/>
            <w:bookmarkEnd w:id="0"/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Fußschutz: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Schutz- bzw. Sicherheitsschuhe tragen.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Hygienische Schutzmaßnahmen und Verhaltensregeln</w:t>
            </w:r>
          </w:p>
          <w:p w:rsidR="004641A5" w:rsidRPr="00A838FA" w:rsidRDefault="004641A5" w:rsidP="00A838FA">
            <w:pPr>
              <w:spacing w:after="0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des Umgangs keine Nahrungs- und Genussmittel zu sich nehmen. 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VERHALTEN IM GEFAHRFALL</w:t>
            </w:r>
          </w:p>
        </w:tc>
      </w:tr>
      <w:tr w:rsidR="004641A5" w:rsidRPr="00A838FA" w:rsidTr="009B1D46">
        <w:tc>
          <w:tcPr>
            <w:tcW w:w="1634" w:type="dxa"/>
          </w:tcPr>
          <w:p w:rsidR="004641A5" w:rsidRPr="00A838FA" w:rsidRDefault="004641A5" w:rsidP="00A838FA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Grafik 27" o:spid="_x0000_s1033" type="#_x0000_t75" alt="B02.bmp" style="position:absolute;left:0;text-align:left;margin-left:17.15pt;margin-top:16.35pt;width:31.9pt;height:32.65pt;z-index:251660800;visibility:visible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8255" w:type="dxa"/>
            <w:gridSpan w:val="3"/>
          </w:tcPr>
          <w:p w:rsidR="004641A5" w:rsidRPr="00A838FA" w:rsidRDefault="004641A5" w:rsidP="00A838FA">
            <w:pPr>
              <w:autoSpaceDE w:val="0"/>
              <w:autoSpaceDN w:val="0"/>
              <w:adjustRightInd w:val="0"/>
              <w:spacing w:before="120"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Maßnahmen zur Brandbekämpfung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Kleine oder Entstehungsbrände löschen mit CO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-, Pulver-, Schaumlöscher. 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Feuerwehr alarmieren.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68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Maßnahmen nach unbeabsichtigter Freisetzung</w:t>
            </w:r>
          </w:p>
          <w:p w:rsidR="004641A5" w:rsidRPr="00A838FA" w:rsidRDefault="004641A5" w:rsidP="00A838FA">
            <w:pPr>
              <w:pStyle w:val="ListParagraph"/>
              <w:spacing w:after="0"/>
              <w:ind w:left="68"/>
              <w:rPr>
                <w:rFonts w:ascii="Arial" w:hAnsi="Arial" w:cs="Arial"/>
                <w:sz w:val="16"/>
                <w:szCs w:val="16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 xml:space="preserve">Mit Bindemitteln aufnehmen und sachgerecht entsorgen. Dämpfe nicht einatmen. Nachreinigen. Räume gut lüften. 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ERSTE HILFE</w:t>
            </w:r>
          </w:p>
        </w:tc>
      </w:tr>
      <w:tr w:rsidR="004641A5" w:rsidRPr="00A838FA" w:rsidTr="009B1D46">
        <w:tc>
          <w:tcPr>
            <w:tcW w:w="1634" w:type="dxa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Grafik 26" o:spid="_x0000_s1034" type="#_x0000_t75" alt="R06.BMP" style="position:absolute;margin-left:18.1pt;margin-top:8.8pt;width:33.35pt;height:34.1pt;z-index:251661824;visibility:visible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8255" w:type="dxa"/>
            <w:gridSpan w:val="3"/>
          </w:tcPr>
          <w:p w:rsidR="004641A5" w:rsidRPr="00A838FA" w:rsidRDefault="004641A5" w:rsidP="00A838FA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ind w:left="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Nach Hautkontakt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Mit viel Wasser reinigen. Verunreinigte Kleidung ausziehen.</w:t>
            </w:r>
          </w:p>
          <w:p w:rsidR="004641A5" w:rsidRPr="00A838FA" w:rsidRDefault="004641A5" w:rsidP="00A838FA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ind w:left="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Nach Augenkontakt: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Unter fließendem Wasser bei weit geöffnetem Lidspalt mehrere Minuten (15 min) spülen. Bei anhaltendem Reizzustand Facharzt aufsuchen.</w:t>
            </w:r>
          </w:p>
          <w:p w:rsidR="004641A5" w:rsidRPr="00A838FA" w:rsidRDefault="004641A5" w:rsidP="00A838FA">
            <w:pPr>
              <w:autoSpaceDE w:val="0"/>
              <w:autoSpaceDN w:val="0"/>
              <w:adjustRightInd w:val="0"/>
              <w:spacing w:after="0"/>
              <w:ind w:left="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Nach Verschlucken: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Mund ausspülen. Wasser in kleinen Schlucken trinken lassen, Erbrechen vermeiden. Sofort Arzt hinzuziehen. Keine Neutralisationsversuche!</w:t>
            </w:r>
          </w:p>
          <w:p w:rsidR="004641A5" w:rsidRPr="00A838FA" w:rsidRDefault="004641A5" w:rsidP="00A838FA">
            <w:pPr>
              <w:spacing w:after="0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A838FA">
              <w:rPr>
                <w:rFonts w:ascii="Arial" w:hAnsi="Arial" w:cs="Arial"/>
                <w:b/>
                <w:bCs/>
                <w:color w:val="000081"/>
                <w:sz w:val="20"/>
                <w:szCs w:val="20"/>
              </w:rPr>
              <w:t xml:space="preserve">Nach Einatmen: </w:t>
            </w: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Frischluft einatmen lassen. Atemwege freihalten. Bei Unwohlsein Arzt aufsuchen.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ENTSORGUNG</w:t>
            </w:r>
          </w:p>
        </w:tc>
      </w:tr>
      <w:tr w:rsidR="004641A5" w:rsidRPr="00A838FA" w:rsidTr="009B1D46">
        <w:tc>
          <w:tcPr>
            <w:tcW w:w="1634" w:type="dxa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5" w:type="dxa"/>
            <w:gridSpan w:val="3"/>
          </w:tcPr>
          <w:p w:rsidR="004641A5" w:rsidRPr="00A838FA" w:rsidRDefault="004641A5" w:rsidP="00A838FA">
            <w:pPr>
              <w:spacing w:after="0"/>
              <w:ind w:left="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8FA">
              <w:rPr>
                <w:rFonts w:ascii="Arial" w:hAnsi="Arial" w:cs="Arial"/>
                <w:color w:val="000000"/>
                <w:sz w:val="20"/>
                <w:szCs w:val="20"/>
              </w:rPr>
              <w:t>Abfälle/Reste in einem beständigen, verschließbaren, gekennzeichneten Gefäß sammeln und fachgerecht entsorgen.</w:t>
            </w:r>
          </w:p>
        </w:tc>
      </w:tr>
      <w:tr w:rsidR="004641A5" w:rsidRPr="00A838FA" w:rsidTr="009B1D46">
        <w:tc>
          <w:tcPr>
            <w:tcW w:w="9889" w:type="dxa"/>
            <w:gridSpan w:val="4"/>
            <w:shd w:val="clear" w:color="auto" w:fill="FD5C03"/>
          </w:tcPr>
          <w:p w:rsidR="004641A5" w:rsidRPr="00A838FA" w:rsidRDefault="004641A5" w:rsidP="00A838F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A838FA">
              <w:rPr>
                <w:rFonts w:ascii="Arial" w:hAnsi="Arial" w:cs="Arial"/>
                <w:color w:val="FFFF00"/>
                <w:sz w:val="28"/>
                <w:szCs w:val="28"/>
              </w:rPr>
              <w:t>VERANTWORTLICHER</w:t>
            </w:r>
          </w:p>
        </w:tc>
      </w:tr>
      <w:tr w:rsidR="004641A5" w:rsidRPr="00A838FA" w:rsidTr="009B1D46">
        <w:tc>
          <w:tcPr>
            <w:tcW w:w="1634" w:type="dxa"/>
            <w:tcBorders>
              <w:bottom w:val="single" w:sz="48" w:space="0" w:color="FD5C03"/>
            </w:tcBorders>
          </w:tcPr>
          <w:p w:rsidR="004641A5" w:rsidRPr="00A838FA" w:rsidRDefault="004641A5" w:rsidP="00A838FA">
            <w:pPr>
              <w:pStyle w:val="ListParagraph"/>
              <w:spacing w:after="0" w:line="240" w:lineRule="auto"/>
              <w:ind w:left="1418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8255" w:type="dxa"/>
            <w:gridSpan w:val="3"/>
            <w:tcBorders>
              <w:bottom w:val="single" w:sz="48" w:space="0" w:color="FD5C03"/>
            </w:tcBorders>
          </w:tcPr>
          <w:p w:rsidR="004641A5" w:rsidRPr="00A838FA" w:rsidRDefault="004641A5" w:rsidP="00A838FA">
            <w:pPr>
              <w:pStyle w:val="ListParagraph"/>
              <w:spacing w:after="0" w:line="240" w:lineRule="auto"/>
              <w:ind w:left="183"/>
              <w:rPr>
                <w:rFonts w:ascii="Arial Narrow" w:hAnsi="Arial Narrow" w:cs="Arial Narrow"/>
                <w:sz w:val="16"/>
                <w:szCs w:val="16"/>
              </w:rPr>
            </w:pPr>
          </w:p>
          <w:p w:rsidR="004641A5" w:rsidRPr="00A838FA" w:rsidRDefault="004641A5" w:rsidP="00A838FA">
            <w:pPr>
              <w:pStyle w:val="ListParagraph"/>
              <w:spacing w:after="0" w:line="240" w:lineRule="auto"/>
              <w:ind w:left="183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4641A5" w:rsidRPr="00CE2604" w:rsidRDefault="004641A5" w:rsidP="00CE2604">
      <w:pPr>
        <w:jc w:val="right"/>
        <w:rPr>
          <w:rFonts w:ascii="Arial Narrow" w:hAnsi="Arial Narrow" w:cs="Arial Narrow"/>
          <w:sz w:val="16"/>
          <w:szCs w:val="16"/>
        </w:rPr>
      </w:pPr>
      <w:bookmarkStart w:id="1" w:name="_PictureBullets"/>
      <w:r w:rsidRPr="00453AD2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alt="W20.BMP" style="width:19.5pt;height:17.25pt;visibility:visible" o:bullet="t">
            <v:imagedata r:id="rId16" o:title=""/>
          </v:shape>
        </w:pict>
      </w:r>
      <w:bookmarkEnd w:id="1"/>
    </w:p>
    <w:sectPr w:rsidR="004641A5" w:rsidRPr="00CE2604" w:rsidSect="009B1D46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A4"/>
    <w:multiLevelType w:val="hybridMultilevel"/>
    <w:tmpl w:val="831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410A47"/>
    <w:multiLevelType w:val="hybridMultilevel"/>
    <w:tmpl w:val="D680A7D0"/>
    <w:lvl w:ilvl="0" w:tplc="3F32C980">
      <w:numFmt w:val="bullet"/>
      <w:lvlText w:val="•"/>
      <w:lvlJc w:val="left"/>
      <w:pPr>
        <w:ind w:left="618" w:hanging="360"/>
      </w:pPr>
      <w:rPr>
        <w:rFonts w:ascii="Arial" w:eastAsia="Times New Roman" w:hAnsi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58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778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18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378" w:hanging="360"/>
      </w:pPr>
      <w:rPr>
        <w:rFonts w:ascii="Wingdings" w:hAnsi="Wingdings" w:cs="Wingdings" w:hint="default"/>
      </w:rPr>
    </w:lvl>
  </w:abstractNum>
  <w:abstractNum w:abstractNumId="2">
    <w:nsid w:val="19B15057"/>
    <w:multiLevelType w:val="hybridMultilevel"/>
    <w:tmpl w:val="B97C7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033D2E"/>
    <w:multiLevelType w:val="hybridMultilevel"/>
    <w:tmpl w:val="8A602406"/>
    <w:lvl w:ilvl="0" w:tplc="3F32C980">
      <w:numFmt w:val="bullet"/>
      <w:lvlText w:val="•"/>
      <w:lvlJc w:val="left"/>
      <w:pPr>
        <w:ind w:left="787" w:hanging="360"/>
      </w:pPr>
      <w:rPr>
        <w:rFonts w:ascii="Arial" w:eastAsia="Times New Roman" w:hAnsi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4">
    <w:nsid w:val="29AC6C60"/>
    <w:multiLevelType w:val="hybridMultilevel"/>
    <w:tmpl w:val="CF440096"/>
    <w:lvl w:ilvl="0" w:tplc="0C070001">
      <w:start w:val="1"/>
      <w:numFmt w:val="bullet"/>
      <w:lvlText w:val=""/>
      <w:lvlJc w:val="left"/>
      <w:pPr>
        <w:ind w:left="618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58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778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18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378" w:hanging="360"/>
      </w:pPr>
      <w:rPr>
        <w:rFonts w:ascii="Wingdings" w:hAnsi="Wingdings" w:cs="Wingdings" w:hint="default"/>
      </w:rPr>
    </w:lvl>
  </w:abstractNum>
  <w:abstractNum w:abstractNumId="5">
    <w:nsid w:val="324B2210"/>
    <w:multiLevelType w:val="hybridMultilevel"/>
    <w:tmpl w:val="E8A0E3BC"/>
    <w:lvl w:ilvl="0" w:tplc="B3E01564">
      <w:numFmt w:val="bullet"/>
      <w:lvlText w:val="•"/>
      <w:lvlJc w:val="left"/>
      <w:pPr>
        <w:ind w:left="427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67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587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27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4747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87" w:hanging="360"/>
      </w:pPr>
      <w:rPr>
        <w:rFonts w:ascii="Wingdings" w:hAnsi="Wingdings" w:cs="Wingdings" w:hint="default"/>
      </w:rPr>
    </w:lvl>
  </w:abstractNum>
  <w:abstractNum w:abstractNumId="6">
    <w:nsid w:val="40CF14DC"/>
    <w:multiLevelType w:val="hybridMultilevel"/>
    <w:tmpl w:val="D2AEEFDE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7">
    <w:nsid w:val="4A224465"/>
    <w:multiLevelType w:val="hybridMultilevel"/>
    <w:tmpl w:val="3DF8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1CF33C3"/>
    <w:multiLevelType w:val="hybridMultilevel"/>
    <w:tmpl w:val="DBF2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7050BE"/>
    <w:multiLevelType w:val="hybridMultilevel"/>
    <w:tmpl w:val="9EFA8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0373DF"/>
    <w:multiLevelType w:val="hybridMultilevel"/>
    <w:tmpl w:val="21E474F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1">
    <w:nsid w:val="64124384"/>
    <w:multiLevelType w:val="hybridMultilevel"/>
    <w:tmpl w:val="E834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41565B"/>
    <w:multiLevelType w:val="hybridMultilevel"/>
    <w:tmpl w:val="3206642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3">
    <w:nsid w:val="66981DB5"/>
    <w:multiLevelType w:val="hybridMultilevel"/>
    <w:tmpl w:val="D9C84F7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4">
    <w:nsid w:val="6D966691"/>
    <w:multiLevelType w:val="hybridMultilevel"/>
    <w:tmpl w:val="E6AC01CC"/>
    <w:lvl w:ilvl="0" w:tplc="106AF000">
      <w:numFmt w:val="bullet"/>
      <w:lvlText w:val="-"/>
      <w:lvlJc w:val="left"/>
      <w:pPr>
        <w:ind w:left="258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698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418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858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4578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018" w:hanging="360"/>
      </w:pPr>
      <w:rPr>
        <w:rFonts w:ascii="Wingdings" w:hAnsi="Wingdings" w:cs="Wingdings" w:hint="default"/>
      </w:rPr>
    </w:lvl>
  </w:abstractNum>
  <w:abstractNum w:abstractNumId="15">
    <w:nsid w:val="7F5C3331"/>
    <w:multiLevelType w:val="hybridMultilevel"/>
    <w:tmpl w:val="4D34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59"/>
    <w:rsid w:val="0001555C"/>
    <w:rsid w:val="0003355D"/>
    <w:rsid w:val="00036402"/>
    <w:rsid w:val="00037B14"/>
    <w:rsid w:val="0009548F"/>
    <w:rsid w:val="000F3CE2"/>
    <w:rsid w:val="00121EFE"/>
    <w:rsid w:val="00124092"/>
    <w:rsid w:val="0013144C"/>
    <w:rsid w:val="00134332"/>
    <w:rsid w:val="001D194E"/>
    <w:rsid w:val="002520FD"/>
    <w:rsid w:val="002B481C"/>
    <w:rsid w:val="0031277C"/>
    <w:rsid w:val="00315D65"/>
    <w:rsid w:val="00334AA5"/>
    <w:rsid w:val="00357A13"/>
    <w:rsid w:val="00377D93"/>
    <w:rsid w:val="00384198"/>
    <w:rsid w:val="0040687D"/>
    <w:rsid w:val="00453AD2"/>
    <w:rsid w:val="004641A5"/>
    <w:rsid w:val="004D4554"/>
    <w:rsid w:val="00525386"/>
    <w:rsid w:val="00530C46"/>
    <w:rsid w:val="0054410B"/>
    <w:rsid w:val="00595723"/>
    <w:rsid w:val="005A1AEF"/>
    <w:rsid w:val="005A4143"/>
    <w:rsid w:val="005D2AC7"/>
    <w:rsid w:val="005D3520"/>
    <w:rsid w:val="005D65F6"/>
    <w:rsid w:val="00643854"/>
    <w:rsid w:val="0067587C"/>
    <w:rsid w:val="006A026C"/>
    <w:rsid w:val="006B1F40"/>
    <w:rsid w:val="006C3E06"/>
    <w:rsid w:val="006C4866"/>
    <w:rsid w:val="006D1F3E"/>
    <w:rsid w:val="0074668B"/>
    <w:rsid w:val="007668C8"/>
    <w:rsid w:val="00773318"/>
    <w:rsid w:val="00784C61"/>
    <w:rsid w:val="007F7B65"/>
    <w:rsid w:val="00867B1E"/>
    <w:rsid w:val="008C5FD5"/>
    <w:rsid w:val="00914114"/>
    <w:rsid w:val="009A7C2A"/>
    <w:rsid w:val="009B1D46"/>
    <w:rsid w:val="009C1064"/>
    <w:rsid w:val="00A01553"/>
    <w:rsid w:val="00A838FA"/>
    <w:rsid w:val="00AE6A4F"/>
    <w:rsid w:val="00AF1E32"/>
    <w:rsid w:val="00AF6D35"/>
    <w:rsid w:val="00BA383F"/>
    <w:rsid w:val="00BF7282"/>
    <w:rsid w:val="00C52E8D"/>
    <w:rsid w:val="00C878D2"/>
    <w:rsid w:val="00CD23E7"/>
    <w:rsid w:val="00CE2604"/>
    <w:rsid w:val="00CF1431"/>
    <w:rsid w:val="00D004F8"/>
    <w:rsid w:val="00D65471"/>
    <w:rsid w:val="00DC605B"/>
    <w:rsid w:val="00DD6622"/>
    <w:rsid w:val="00DE2E59"/>
    <w:rsid w:val="00E878C9"/>
    <w:rsid w:val="00F402BF"/>
    <w:rsid w:val="00F67E0D"/>
    <w:rsid w:val="00FB3723"/>
    <w:rsid w:val="00FC356B"/>
    <w:rsid w:val="00FF097A"/>
    <w:rsid w:val="00FF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E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383F"/>
    <w:pPr>
      <w:ind w:left="720"/>
    </w:pPr>
  </w:style>
  <w:style w:type="paragraph" w:customStyle="1" w:styleId="Tabelle">
    <w:name w:val="Tabelle"/>
    <w:basedOn w:val="Normal"/>
    <w:uiPriority w:val="99"/>
    <w:rsid w:val="008C5FD5"/>
    <w:pPr>
      <w:tabs>
        <w:tab w:val="num" w:pos="502"/>
      </w:tabs>
      <w:spacing w:before="120" w:after="0" w:line="320" w:lineRule="atLeast"/>
      <w:ind w:left="284" w:right="57" w:hanging="142"/>
      <w:jc w:val="both"/>
    </w:pPr>
    <w:rPr>
      <w:rFonts w:ascii="Arial" w:hAnsi="Arial" w:cs="Arial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365</Words>
  <Characters>2306</Characters>
  <Application>Microsoft Office Outlook</Application>
  <DocSecurity>0</DocSecurity>
  <Lines>0</Lines>
  <Paragraphs>0</Paragraphs>
  <ScaleCrop>false</ScaleCrop>
  <Company>Universität für Bodenkultur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tuerk</cp:lastModifiedBy>
  <cp:revision>3</cp:revision>
  <cp:lastPrinted>2013-10-21T15:19:00Z</cp:lastPrinted>
  <dcterms:created xsi:type="dcterms:W3CDTF">2014-05-03T18:22:00Z</dcterms:created>
  <dcterms:modified xsi:type="dcterms:W3CDTF">2014-06-05T12:08:00Z</dcterms:modified>
</cp:coreProperties>
</file>