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5ED4E" w14:textId="36BFD175" w:rsidR="008578C1" w:rsidRPr="00BA05B0" w:rsidRDefault="008578C1" w:rsidP="000709B0">
      <w:pPr>
        <w:spacing w:after="240"/>
        <w:jc w:val="center"/>
        <w:rPr>
          <w:rFonts w:ascii="Arial" w:hAnsi="Arial" w:cs="Arial"/>
          <w:b/>
          <w:bCs/>
          <w:sz w:val="32"/>
          <w:szCs w:val="32"/>
        </w:rPr>
      </w:pPr>
      <w:r w:rsidRPr="00BA05B0">
        <w:rPr>
          <w:rFonts w:ascii="Arial" w:hAnsi="Arial" w:cs="Arial"/>
          <w:b/>
          <w:bCs/>
          <w:sz w:val="32"/>
          <w:szCs w:val="32"/>
        </w:rPr>
        <w:t>Sind wir übergewichtig durch unsere unterschiedlichen kulturellen Essgewohnheiten?</w:t>
      </w:r>
    </w:p>
    <w:p w14:paraId="60F56003" w14:textId="77777777" w:rsidR="000E1825" w:rsidRDefault="002A7BBC" w:rsidP="00F21603">
      <w:pPr>
        <w:spacing w:after="120"/>
        <w:jc w:val="center"/>
        <w:rPr>
          <w:rFonts w:ascii="Arial" w:hAnsi="Arial" w:cs="Arial"/>
          <w:b/>
          <w:bCs/>
          <w:sz w:val="28"/>
          <w:szCs w:val="28"/>
        </w:rPr>
      </w:pPr>
      <w:r w:rsidRPr="000E1825">
        <w:rPr>
          <w:rFonts w:ascii="Arial" w:hAnsi="Arial" w:cs="Arial"/>
          <w:b/>
          <w:bCs/>
          <w:sz w:val="28"/>
          <w:szCs w:val="28"/>
        </w:rPr>
        <w:t>Einfluss</w:t>
      </w:r>
      <w:r w:rsidR="004F107B" w:rsidRPr="000E1825">
        <w:rPr>
          <w:rFonts w:ascii="Arial" w:hAnsi="Arial" w:cs="Arial"/>
          <w:b/>
          <w:bCs/>
          <w:sz w:val="28"/>
          <w:szCs w:val="28"/>
        </w:rPr>
        <w:t xml:space="preserve"> globale</w:t>
      </w:r>
      <w:r w:rsidR="000249A5" w:rsidRPr="000E1825">
        <w:rPr>
          <w:rFonts w:ascii="Arial" w:hAnsi="Arial" w:cs="Arial"/>
          <w:b/>
          <w:bCs/>
          <w:sz w:val="28"/>
          <w:szCs w:val="28"/>
        </w:rPr>
        <w:t>r</w:t>
      </w:r>
      <w:r w:rsidR="004F107B" w:rsidRPr="000E1825">
        <w:rPr>
          <w:rFonts w:ascii="Arial" w:hAnsi="Arial" w:cs="Arial"/>
          <w:b/>
          <w:bCs/>
          <w:sz w:val="28"/>
          <w:szCs w:val="28"/>
        </w:rPr>
        <w:t xml:space="preserve"> Esskultur</w:t>
      </w:r>
      <w:r w:rsidR="00AD1795" w:rsidRPr="000E1825">
        <w:rPr>
          <w:rFonts w:ascii="Arial" w:hAnsi="Arial" w:cs="Arial"/>
          <w:b/>
          <w:bCs/>
          <w:sz w:val="28"/>
          <w:szCs w:val="28"/>
        </w:rPr>
        <w:t>en</w:t>
      </w:r>
      <w:r w:rsidR="004F107B" w:rsidRPr="000E1825">
        <w:rPr>
          <w:rFonts w:ascii="Arial" w:hAnsi="Arial" w:cs="Arial"/>
          <w:b/>
          <w:bCs/>
          <w:sz w:val="28"/>
          <w:szCs w:val="28"/>
        </w:rPr>
        <w:t xml:space="preserve"> auf Fettleibigkeit</w:t>
      </w:r>
      <w:r w:rsidR="00084DC1" w:rsidRPr="000E1825">
        <w:rPr>
          <w:rFonts w:ascii="Arial" w:hAnsi="Arial" w:cs="Arial"/>
          <w:b/>
          <w:bCs/>
          <w:sz w:val="28"/>
          <w:szCs w:val="28"/>
        </w:rPr>
        <w:t xml:space="preserve"> bei </w:t>
      </w:r>
    </w:p>
    <w:p w14:paraId="677F1C27" w14:textId="061B50BF" w:rsidR="00985BD2" w:rsidRPr="000E1825" w:rsidRDefault="00A51B5B" w:rsidP="00055527">
      <w:pPr>
        <w:spacing w:after="240"/>
        <w:jc w:val="center"/>
        <w:rPr>
          <w:rFonts w:ascii="Arial" w:hAnsi="Arial" w:cs="Arial"/>
          <w:b/>
          <w:bCs/>
          <w:sz w:val="28"/>
          <w:szCs w:val="28"/>
        </w:rPr>
      </w:pPr>
      <w:r w:rsidRPr="000E1825">
        <w:rPr>
          <w:rFonts w:ascii="Arial" w:hAnsi="Arial" w:cs="Arial"/>
          <w:b/>
          <w:bCs/>
          <w:sz w:val="28"/>
          <w:szCs w:val="28"/>
        </w:rPr>
        <w:t>US-</w:t>
      </w:r>
      <w:r w:rsidR="00084DC1" w:rsidRPr="000E1825">
        <w:rPr>
          <w:rFonts w:ascii="Arial" w:hAnsi="Arial" w:cs="Arial"/>
          <w:b/>
          <w:bCs/>
          <w:sz w:val="28"/>
          <w:szCs w:val="28"/>
        </w:rPr>
        <w:t>Amerikaner</w:t>
      </w:r>
      <w:r w:rsidR="0040666C" w:rsidRPr="000E1825">
        <w:rPr>
          <w:rFonts w:ascii="Arial" w:hAnsi="Arial" w:cs="Arial"/>
          <w:b/>
          <w:bCs/>
          <w:sz w:val="28"/>
          <w:szCs w:val="28"/>
        </w:rPr>
        <w:t>*inne</w:t>
      </w:r>
      <w:r w:rsidR="00861A74" w:rsidRPr="000E1825">
        <w:rPr>
          <w:rFonts w:ascii="Arial" w:hAnsi="Arial" w:cs="Arial"/>
          <w:b/>
          <w:bCs/>
          <w:sz w:val="28"/>
          <w:szCs w:val="28"/>
        </w:rPr>
        <w:t>n</w:t>
      </w:r>
      <w:r w:rsidR="00084DC1" w:rsidRPr="000E1825">
        <w:rPr>
          <w:rFonts w:ascii="Arial" w:hAnsi="Arial" w:cs="Arial"/>
          <w:b/>
          <w:bCs/>
          <w:sz w:val="28"/>
          <w:szCs w:val="28"/>
        </w:rPr>
        <w:t xml:space="preserve"> und Europäer</w:t>
      </w:r>
      <w:r w:rsidR="0040666C" w:rsidRPr="000E1825">
        <w:rPr>
          <w:rFonts w:ascii="Arial" w:hAnsi="Arial" w:cs="Arial"/>
          <w:b/>
          <w:bCs/>
          <w:sz w:val="28"/>
          <w:szCs w:val="28"/>
        </w:rPr>
        <w:t>*inne</w:t>
      </w:r>
      <w:r w:rsidR="00861A74" w:rsidRPr="000E1825">
        <w:rPr>
          <w:rFonts w:ascii="Arial" w:hAnsi="Arial" w:cs="Arial"/>
          <w:b/>
          <w:bCs/>
          <w:sz w:val="28"/>
          <w:szCs w:val="28"/>
        </w:rPr>
        <w:t>n</w:t>
      </w:r>
    </w:p>
    <w:p w14:paraId="0E8592E0" w14:textId="3C1FAC6D" w:rsidR="009E2326" w:rsidRPr="00F21603" w:rsidRDefault="00DE657B" w:rsidP="00F21603">
      <w:pPr>
        <w:spacing w:after="120"/>
        <w:jc w:val="center"/>
        <w:rPr>
          <w:rFonts w:ascii="Arial" w:hAnsi="Arial" w:cs="Arial"/>
          <w:caps/>
        </w:rPr>
      </w:pPr>
      <w:r w:rsidRPr="00F21603">
        <w:rPr>
          <w:rFonts w:ascii="Arial" w:hAnsi="Arial" w:cs="Arial"/>
          <w:caps/>
        </w:rPr>
        <w:t>M</w:t>
      </w:r>
      <w:r w:rsidR="00D21CD3" w:rsidRPr="00F21603">
        <w:rPr>
          <w:rFonts w:ascii="Arial" w:hAnsi="Arial" w:cs="Arial"/>
          <w:caps/>
        </w:rPr>
        <w:t>elis</w:t>
      </w:r>
      <w:r w:rsidRPr="00F21603">
        <w:rPr>
          <w:rFonts w:ascii="Arial" w:hAnsi="Arial" w:cs="Arial"/>
          <w:caps/>
        </w:rPr>
        <w:t xml:space="preserve"> KRISTAN</w:t>
      </w:r>
    </w:p>
    <w:p w14:paraId="2626B614" w14:textId="77777777" w:rsidR="00C907F8" w:rsidRPr="00F21603" w:rsidRDefault="00C907F8" w:rsidP="00F21603">
      <w:pPr>
        <w:spacing w:after="120"/>
        <w:jc w:val="both"/>
        <w:rPr>
          <w:rFonts w:ascii="Arial" w:hAnsi="Arial" w:cs="Arial"/>
          <w:caps/>
        </w:rPr>
      </w:pPr>
    </w:p>
    <w:p w14:paraId="759A50EE" w14:textId="77777777" w:rsidR="00C907F8" w:rsidRPr="00F21603" w:rsidRDefault="00C907F8" w:rsidP="00F21603">
      <w:pPr>
        <w:spacing w:after="120"/>
        <w:jc w:val="both"/>
        <w:rPr>
          <w:rFonts w:ascii="Arial" w:hAnsi="Arial" w:cs="Arial"/>
          <w:caps/>
        </w:rPr>
        <w:sectPr w:rsidR="00C907F8" w:rsidRPr="00F21603">
          <w:pgSz w:w="11906" w:h="16838"/>
          <w:pgMar w:top="1440" w:right="1440" w:bottom="1440" w:left="1440" w:header="708" w:footer="708" w:gutter="0"/>
          <w:cols w:space="708"/>
          <w:docGrid w:linePitch="360"/>
        </w:sectPr>
      </w:pPr>
    </w:p>
    <w:p w14:paraId="5827A246" w14:textId="07E947BC" w:rsidR="00AF1D71" w:rsidRPr="00F21603" w:rsidRDefault="002908AD" w:rsidP="00F21603">
      <w:pPr>
        <w:pStyle w:val="Kommentartext"/>
        <w:rPr>
          <w:rFonts w:ascii="Arial" w:hAnsi="Arial" w:cs="Arial"/>
          <w:color w:val="000000" w:themeColor="text1"/>
          <w:sz w:val="24"/>
          <w:szCs w:val="24"/>
          <w:lang w:val="de-AT"/>
        </w:rPr>
      </w:pPr>
      <w:r w:rsidRPr="00F21603">
        <w:rPr>
          <w:rFonts w:ascii="Arial" w:hAnsi="Arial" w:cs="Arial"/>
          <w:sz w:val="24"/>
          <w:szCs w:val="24"/>
          <w:lang w:val="de-AT"/>
        </w:rPr>
        <w:t>Fettleibigkeit</w:t>
      </w:r>
      <w:r w:rsidR="001B5033" w:rsidRPr="00F21603">
        <w:rPr>
          <w:rFonts w:ascii="Arial" w:hAnsi="Arial" w:cs="Arial"/>
          <w:sz w:val="24"/>
          <w:szCs w:val="24"/>
          <w:lang w:val="de-AT"/>
        </w:rPr>
        <w:t xml:space="preserve"> </w:t>
      </w:r>
      <w:r w:rsidR="00AF1D71" w:rsidRPr="00F21603">
        <w:rPr>
          <w:rFonts w:ascii="Arial" w:hAnsi="Arial" w:cs="Arial"/>
          <w:sz w:val="24"/>
          <w:szCs w:val="24"/>
          <w:lang w:val="de-AT"/>
        </w:rPr>
        <w:t xml:space="preserve">ist nicht nur auf individueller, sondern auch auf gesellschaftlicher und staatlicher </w:t>
      </w:r>
      <w:r w:rsidR="004162AD" w:rsidRPr="00F21603">
        <w:rPr>
          <w:rFonts w:ascii="Arial" w:hAnsi="Arial" w:cs="Arial"/>
          <w:sz w:val="24"/>
          <w:szCs w:val="24"/>
          <w:lang w:val="de-AT"/>
        </w:rPr>
        <w:t xml:space="preserve">Ebene </w:t>
      </w:r>
      <w:r w:rsidR="00AF1D71" w:rsidRPr="00F21603">
        <w:rPr>
          <w:rFonts w:ascii="Arial" w:hAnsi="Arial" w:cs="Arial"/>
          <w:sz w:val="24"/>
          <w:szCs w:val="24"/>
          <w:lang w:val="de-AT"/>
        </w:rPr>
        <w:t xml:space="preserve">ein </w:t>
      </w:r>
      <w:r w:rsidR="00A94234" w:rsidRPr="00F21603">
        <w:rPr>
          <w:rFonts w:ascii="Arial" w:hAnsi="Arial" w:cs="Arial"/>
          <w:sz w:val="24"/>
          <w:szCs w:val="24"/>
          <w:lang w:val="de-AT"/>
        </w:rPr>
        <w:t>globales Problem</w:t>
      </w:r>
      <w:r w:rsidR="00FF2302" w:rsidRPr="00F21603">
        <w:rPr>
          <w:rFonts w:ascii="Arial" w:hAnsi="Arial" w:cs="Arial"/>
          <w:sz w:val="24"/>
          <w:szCs w:val="24"/>
          <w:lang w:val="de-AT"/>
        </w:rPr>
        <w:t>, welche</w:t>
      </w:r>
      <w:r w:rsidR="00C31C0C" w:rsidRPr="00F21603">
        <w:rPr>
          <w:rFonts w:ascii="Arial" w:hAnsi="Arial" w:cs="Arial"/>
          <w:sz w:val="24"/>
          <w:szCs w:val="24"/>
          <w:lang w:val="de-AT"/>
        </w:rPr>
        <w:t xml:space="preserve">s </w:t>
      </w:r>
      <w:r w:rsidR="00FF2302" w:rsidRPr="00F21603">
        <w:rPr>
          <w:rFonts w:ascii="Arial" w:hAnsi="Arial" w:cs="Arial"/>
          <w:sz w:val="24"/>
          <w:szCs w:val="24"/>
          <w:lang w:val="de-AT"/>
        </w:rPr>
        <w:t>durch</w:t>
      </w:r>
      <w:r w:rsidR="00A94234" w:rsidRPr="00F21603">
        <w:rPr>
          <w:rFonts w:ascii="Arial" w:hAnsi="Arial" w:cs="Arial"/>
          <w:sz w:val="24"/>
          <w:szCs w:val="24"/>
          <w:lang w:val="de-AT"/>
        </w:rPr>
        <w:t xml:space="preserve"> </w:t>
      </w:r>
      <w:r w:rsidR="00FF2302" w:rsidRPr="00F21603">
        <w:rPr>
          <w:rFonts w:ascii="Arial" w:hAnsi="Arial" w:cs="Arial"/>
          <w:sz w:val="24"/>
          <w:szCs w:val="24"/>
          <w:lang w:val="de-AT"/>
        </w:rPr>
        <w:t>e</w:t>
      </w:r>
      <w:r w:rsidR="00AF1D71" w:rsidRPr="00F21603">
        <w:rPr>
          <w:rFonts w:ascii="Arial" w:hAnsi="Arial" w:cs="Arial"/>
          <w:sz w:val="24"/>
          <w:szCs w:val="24"/>
          <w:lang w:val="de-AT"/>
        </w:rPr>
        <w:t xml:space="preserve">xterne Treiber wie negative Umwelteinflüsse, </w:t>
      </w:r>
      <w:r w:rsidR="004840E6" w:rsidRPr="00F21603">
        <w:rPr>
          <w:rFonts w:ascii="Arial" w:hAnsi="Arial" w:cs="Arial"/>
          <w:sz w:val="24"/>
          <w:szCs w:val="24"/>
          <w:lang w:val="de-AT"/>
        </w:rPr>
        <w:t xml:space="preserve">die </w:t>
      </w:r>
      <w:r w:rsidR="00AF1D71" w:rsidRPr="00F21603">
        <w:rPr>
          <w:rFonts w:ascii="Arial" w:hAnsi="Arial" w:cs="Arial"/>
          <w:sz w:val="24"/>
          <w:szCs w:val="24"/>
          <w:lang w:val="de-AT"/>
        </w:rPr>
        <w:t xml:space="preserve">wirtschaftliche Situation, Bildung </w:t>
      </w:r>
      <w:r w:rsidR="003E335E" w:rsidRPr="00F21603">
        <w:rPr>
          <w:rFonts w:ascii="Arial" w:hAnsi="Arial" w:cs="Arial"/>
          <w:sz w:val="24"/>
          <w:szCs w:val="24"/>
          <w:lang w:val="de-AT"/>
        </w:rPr>
        <w:t>sowie</w:t>
      </w:r>
      <w:r w:rsidR="00AF1D71" w:rsidRPr="00F21603">
        <w:rPr>
          <w:rFonts w:ascii="Arial" w:hAnsi="Arial" w:cs="Arial"/>
          <w:sz w:val="24"/>
          <w:szCs w:val="24"/>
          <w:lang w:val="de-AT"/>
        </w:rPr>
        <w:t xml:space="preserve"> </w:t>
      </w:r>
      <w:r w:rsidR="00E43291">
        <w:rPr>
          <w:rFonts w:ascii="Arial" w:hAnsi="Arial" w:cs="Arial"/>
          <w:sz w:val="24"/>
          <w:szCs w:val="24"/>
          <w:lang w:val="de-AT"/>
        </w:rPr>
        <w:t xml:space="preserve">durch </w:t>
      </w:r>
      <w:r w:rsidR="00AF1D71" w:rsidRPr="00F21603">
        <w:rPr>
          <w:rFonts w:ascii="Arial" w:hAnsi="Arial" w:cs="Arial"/>
          <w:sz w:val="24"/>
          <w:szCs w:val="24"/>
          <w:lang w:val="de-AT"/>
        </w:rPr>
        <w:t>de</w:t>
      </w:r>
      <w:r w:rsidR="00B203B3" w:rsidRPr="00F21603">
        <w:rPr>
          <w:rFonts w:ascii="Arial" w:hAnsi="Arial" w:cs="Arial"/>
          <w:sz w:val="24"/>
          <w:szCs w:val="24"/>
          <w:lang w:val="de-AT"/>
        </w:rPr>
        <w:t>n</w:t>
      </w:r>
      <w:r w:rsidR="00AF1D71" w:rsidRPr="00F21603">
        <w:rPr>
          <w:rFonts w:ascii="Arial" w:hAnsi="Arial" w:cs="Arial"/>
          <w:sz w:val="24"/>
          <w:szCs w:val="24"/>
          <w:lang w:val="de-AT"/>
        </w:rPr>
        <w:t xml:space="preserve"> Einfluss von Marketing </w:t>
      </w:r>
      <w:r w:rsidR="003E335E" w:rsidRPr="00F21603">
        <w:rPr>
          <w:rFonts w:ascii="Arial" w:hAnsi="Arial" w:cs="Arial"/>
          <w:sz w:val="24"/>
          <w:szCs w:val="24"/>
          <w:lang w:val="de-AT"/>
        </w:rPr>
        <w:t>und</w:t>
      </w:r>
      <w:r w:rsidR="00AF1D71" w:rsidRPr="00F21603">
        <w:rPr>
          <w:rFonts w:ascii="Arial" w:hAnsi="Arial" w:cs="Arial"/>
          <w:sz w:val="24"/>
          <w:szCs w:val="24"/>
          <w:lang w:val="de-AT"/>
        </w:rPr>
        <w:t xml:space="preserve"> Lebensmitteltechnologie </w:t>
      </w:r>
      <w:r w:rsidR="00711047" w:rsidRPr="00F21603">
        <w:rPr>
          <w:rFonts w:ascii="Arial" w:hAnsi="Arial" w:cs="Arial"/>
          <w:sz w:val="24"/>
          <w:szCs w:val="24"/>
          <w:lang w:val="de-AT"/>
        </w:rPr>
        <w:t xml:space="preserve">verstärkt wird </w:t>
      </w:r>
      <w:r w:rsidR="007832A7" w:rsidRPr="00F21603">
        <w:rPr>
          <w:rFonts w:ascii="Arial" w:hAnsi="Arial" w:cs="Arial"/>
          <w:color w:val="000000" w:themeColor="text1"/>
          <w:sz w:val="24"/>
          <w:szCs w:val="24"/>
          <w:lang w:val="de-AT"/>
        </w:rPr>
        <w:fldChar w:fldCharType="begin" w:fldLock="1"/>
      </w:r>
      <w:r w:rsidR="00D81B4A" w:rsidRPr="00F21603">
        <w:rPr>
          <w:rFonts w:ascii="Arial" w:hAnsi="Arial" w:cs="Arial"/>
          <w:color w:val="000000" w:themeColor="text1"/>
          <w:sz w:val="24"/>
          <w:szCs w:val="24"/>
          <w:lang w:val="de-AT"/>
        </w:rPr>
        <w:instrText>ADDIN CSL_CITATION {"citationItems":[{"id":"ITEM-1","itemData":{"author":[{"dropping-particle":"","family":"Barilla Center for Food and Nutrition","given":"","non-dropping-particle":"","parse-names":false,"suffix":""}],"id":"ITEM-1","issued":{"date-parts":[["2012"]]},"page":"141","title":"Double Pyramid 2012: Enabling sustainable food choices","type":"article-journal"},"uris":["http://www.mendeley.com/documents/?uuid=703f2138-8749-4aa3-acc2-f01c3892f189"]}],"mendeley":{"formattedCitation":"(Barilla Center for Food and Nutrition, 2012)","plainTextFormattedCitation":"(Barilla Center for Food and Nutrition, 2012)","previouslyFormattedCitation":"(Barilla Center for Food and Nutrition, 2012)"},"properties":{"noteIndex":0},"schema":"https://github.com/citation-style-language/schema/raw/master/csl-citation.json"}</w:instrText>
      </w:r>
      <w:r w:rsidR="007832A7" w:rsidRPr="00F21603">
        <w:rPr>
          <w:rFonts w:ascii="Arial" w:hAnsi="Arial" w:cs="Arial"/>
          <w:color w:val="000000" w:themeColor="text1"/>
          <w:sz w:val="24"/>
          <w:szCs w:val="24"/>
          <w:lang w:val="de-AT"/>
        </w:rPr>
        <w:fldChar w:fldCharType="separate"/>
      </w:r>
      <w:r w:rsidR="007832A7" w:rsidRPr="00F21603">
        <w:rPr>
          <w:rFonts w:ascii="Arial" w:hAnsi="Arial" w:cs="Arial"/>
          <w:noProof/>
          <w:color w:val="000000" w:themeColor="text1"/>
          <w:sz w:val="24"/>
          <w:szCs w:val="24"/>
          <w:lang w:val="de-AT"/>
        </w:rPr>
        <w:t>(Barilla Center for Food and Nutrition, 2012)</w:t>
      </w:r>
      <w:r w:rsidR="007832A7" w:rsidRPr="00F21603">
        <w:rPr>
          <w:rFonts w:ascii="Arial" w:hAnsi="Arial" w:cs="Arial"/>
          <w:color w:val="000000" w:themeColor="text1"/>
          <w:sz w:val="24"/>
          <w:szCs w:val="24"/>
          <w:lang w:val="de-AT"/>
        </w:rPr>
        <w:fldChar w:fldCharType="end"/>
      </w:r>
      <w:r w:rsidR="007832A7" w:rsidRPr="00F21603">
        <w:rPr>
          <w:rFonts w:ascii="Arial" w:hAnsi="Arial" w:cs="Arial"/>
          <w:color w:val="000000" w:themeColor="text1"/>
          <w:sz w:val="24"/>
          <w:szCs w:val="24"/>
          <w:lang w:val="de-AT"/>
        </w:rPr>
        <w:t>.</w:t>
      </w:r>
    </w:p>
    <w:p w14:paraId="63717D33" w14:textId="1519A3FD" w:rsidR="00BD4D0E" w:rsidRPr="00F21603" w:rsidRDefault="0029155E" w:rsidP="00F21603">
      <w:pPr>
        <w:pStyle w:val="Kommentartext"/>
        <w:rPr>
          <w:rFonts w:ascii="Arial" w:hAnsi="Arial" w:cs="Arial"/>
          <w:sz w:val="24"/>
          <w:szCs w:val="24"/>
          <w:lang w:val="de-AT"/>
        </w:rPr>
      </w:pPr>
      <w:r w:rsidRPr="00F21603">
        <w:rPr>
          <w:rFonts w:ascii="Arial" w:hAnsi="Arial" w:cs="Arial"/>
          <w:sz w:val="24"/>
          <w:szCs w:val="24"/>
          <w:lang w:val="de-AT"/>
        </w:rPr>
        <w:t>D</w:t>
      </w:r>
      <w:r w:rsidR="00AF1D71" w:rsidRPr="00F21603">
        <w:rPr>
          <w:rFonts w:ascii="Arial" w:hAnsi="Arial" w:cs="Arial"/>
          <w:sz w:val="24"/>
          <w:szCs w:val="24"/>
          <w:lang w:val="de-AT"/>
        </w:rPr>
        <w:t xml:space="preserve">ie </w:t>
      </w:r>
      <w:r w:rsidR="0071722D" w:rsidRPr="00F21603">
        <w:rPr>
          <w:rFonts w:ascii="Arial" w:hAnsi="Arial" w:cs="Arial"/>
          <w:sz w:val="24"/>
          <w:szCs w:val="24"/>
          <w:lang w:val="de-AT"/>
        </w:rPr>
        <w:t>Fettleibigkeit</w:t>
      </w:r>
      <w:r w:rsidR="00AF1D71" w:rsidRPr="00F21603">
        <w:rPr>
          <w:rFonts w:ascii="Arial" w:hAnsi="Arial" w:cs="Arial"/>
          <w:sz w:val="24"/>
          <w:szCs w:val="24"/>
          <w:lang w:val="de-AT"/>
        </w:rPr>
        <w:t xml:space="preserve">- und Übergewichtsprävalenz </w:t>
      </w:r>
      <w:r w:rsidRPr="00F21603">
        <w:rPr>
          <w:rFonts w:ascii="Arial" w:hAnsi="Arial" w:cs="Arial"/>
          <w:sz w:val="24"/>
          <w:szCs w:val="24"/>
          <w:lang w:val="de-AT"/>
        </w:rPr>
        <w:t xml:space="preserve">wird </w:t>
      </w:r>
      <w:r w:rsidR="00AF1D71" w:rsidRPr="00F21603">
        <w:rPr>
          <w:rFonts w:ascii="Arial" w:hAnsi="Arial" w:cs="Arial"/>
          <w:sz w:val="24"/>
          <w:szCs w:val="24"/>
          <w:lang w:val="de-AT"/>
        </w:rPr>
        <w:t xml:space="preserve">jedoch </w:t>
      </w:r>
      <w:r w:rsidRPr="00F21603">
        <w:rPr>
          <w:rFonts w:ascii="Arial" w:hAnsi="Arial" w:cs="Arial"/>
          <w:sz w:val="24"/>
          <w:szCs w:val="24"/>
          <w:lang w:val="de-AT"/>
        </w:rPr>
        <w:t xml:space="preserve">durch die </w:t>
      </w:r>
      <w:r w:rsidR="00AF1D71" w:rsidRPr="00F21603">
        <w:rPr>
          <w:rFonts w:ascii="Arial" w:hAnsi="Arial" w:cs="Arial"/>
          <w:sz w:val="24"/>
          <w:szCs w:val="24"/>
          <w:lang w:val="de-AT"/>
        </w:rPr>
        <w:t>globale Esskultur</w:t>
      </w:r>
      <w:r w:rsidRPr="00F21603">
        <w:rPr>
          <w:rFonts w:ascii="Arial" w:hAnsi="Arial" w:cs="Arial"/>
          <w:sz w:val="24"/>
          <w:szCs w:val="24"/>
          <w:lang w:val="de-AT"/>
        </w:rPr>
        <w:t xml:space="preserve"> zusätzlich beeinflusst. </w:t>
      </w:r>
      <w:r w:rsidR="00AF1D71" w:rsidRPr="00F21603">
        <w:rPr>
          <w:rFonts w:ascii="Arial" w:hAnsi="Arial" w:cs="Arial"/>
          <w:sz w:val="24"/>
          <w:szCs w:val="24"/>
          <w:lang w:val="de-AT"/>
        </w:rPr>
        <w:t>Unterschiedliche ernährungsbezogene Lebensstile und Essgewohnheiten könne</w:t>
      </w:r>
      <w:r w:rsidR="003A05A2" w:rsidRPr="00F21603">
        <w:rPr>
          <w:rFonts w:ascii="Arial" w:hAnsi="Arial" w:cs="Arial"/>
          <w:sz w:val="24"/>
          <w:szCs w:val="24"/>
          <w:lang w:val="de-AT"/>
        </w:rPr>
        <w:t>n</w:t>
      </w:r>
      <w:r w:rsidR="00AF1D71" w:rsidRPr="00F21603">
        <w:rPr>
          <w:rFonts w:ascii="Arial" w:hAnsi="Arial" w:cs="Arial"/>
          <w:sz w:val="24"/>
          <w:szCs w:val="24"/>
          <w:lang w:val="de-AT"/>
        </w:rPr>
        <w:t xml:space="preserve"> sich auf das Gewicht der Menschen auswirken. Eine </w:t>
      </w:r>
      <w:r w:rsidR="00A841F8" w:rsidRPr="00F21603">
        <w:rPr>
          <w:rFonts w:ascii="Arial" w:hAnsi="Arial" w:cs="Arial"/>
          <w:sz w:val="24"/>
          <w:szCs w:val="24"/>
          <w:lang w:val="de-AT"/>
        </w:rPr>
        <w:t>Masterarbeit,</w:t>
      </w:r>
      <w:r w:rsidR="00AF1D71" w:rsidRPr="00F21603">
        <w:rPr>
          <w:rFonts w:ascii="Arial" w:hAnsi="Arial" w:cs="Arial"/>
          <w:sz w:val="24"/>
          <w:szCs w:val="24"/>
          <w:lang w:val="de-AT"/>
        </w:rPr>
        <w:t xml:space="preserve"> </w:t>
      </w:r>
      <w:r w:rsidR="0003067F" w:rsidRPr="00F21603">
        <w:rPr>
          <w:rFonts w:ascii="Arial" w:hAnsi="Arial" w:cs="Arial"/>
          <w:sz w:val="24"/>
          <w:szCs w:val="24"/>
          <w:lang w:val="de-AT"/>
        </w:rPr>
        <w:t xml:space="preserve">welche am Institut für Marketing und Innovation an der Universität für Bodenkultur Wien erstellt </w:t>
      </w:r>
      <w:r w:rsidR="00A841F8" w:rsidRPr="00F21603">
        <w:rPr>
          <w:rFonts w:ascii="Arial" w:hAnsi="Arial" w:cs="Arial"/>
          <w:sz w:val="24"/>
          <w:szCs w:val="24"/>
          <w:lang w:val="de-AT"/>
        </w:rPr>
        <w:t>wurde,</w:t>
      </w:r>
      <w:r w:rsidR="00AF1D71" w:rsidRPr="00F21603">
        <w:rPr>
          <w:rFonts w:ascii="Arial" w:hAnsi="Arial" w:cs="Arial"/>
          <w:sz w:val="24"/>
          <w:szCs w:val="24"/>
          <w:lang w:val="de-AT"/>
        </w:rPr>
        <w:t xml:space="preserve"> untersuchte das gesunde und soziale Essverhalten </w:t>
      </w:r>
      <w:r w:rsidR="000D732A" w:rsidRPr="00F21603">
        <w:rPr>
          <w:rFonts w:ascii="Arial" w:hAnsi="Arial" w:cs="Arial"/>
          <w:sz w:val="24"/>
          <w:szCs w:val="24"/>
          <w:lang w:val="de-AT"/>
        </w:rPr>
        <w:t xml:space="preserve">der </w:t>
      </w:r>
      <w:r w:rsidR="008C07DE" w:rsidRPr="00F21603">
        <w:rPr>
          <w:rFonts w:ascii="Arial" w:hAnsi="Arial" w:cs="Arial"/>
          <w:sz w:val="24"/>
          <w:szCs w:val="24"/>
          <w:lang w:val="de-AT"/>
        </w:rPr>
        <w:t>US-</w:t>
      </w:r>
      <w:r w:rsidR="000D732A" w:rsidRPr="00F21603">
        <w:rPr>
          <w:rFonts w:ascii="Arial" w:hAnsi="Arial" w:cs="Arial"/>
          <w:sz w:val="24"/>
          <w:szCs w:val="24"/>
          <w:lang w:val="de-AT"/>
        </w:rPr>
        <w:t>Amerikaner</w:t>
      </w:r>
      <w:r w:rsidR="008C07DE" w:rsidRPr="00F21603">
        <w:rPr>
          <w:rFonts w:ascii="Arial" w:hAnsi="Arial" w:cs="Arial"/>
          <w:sz w:val="24"/>
          <w:szCs w:val="24"/>
          <w:lang w:val="de-AT"/>
        </w:rPr>
        <w:t>*innen</w:t>
      </w:r>
      <w:r w:rsidR="00AF1D71" w:rsidRPr="00F21603">
        <w:rPr>
          <w:rFonts w:ascii="Arial" w:hAnsi="Arial" w:cs="Arial"/>
          <w:sz w:val="24"/>
          <w:szCs w:val="24"/>
          <w:lang w:val="de-AT"/>
        </w:rPr>
        <w:t xml:space="preserve"> und Europäer</w:t>
      </w:r>
      <w:r w:rsidR="00BD77CC">
        <w:rPr>
          <w:rFonts w:ascii="Arial" w:hAnsi="Arial" w:cs="Arial"/>
          <w:sz w:val="24"/>
          <w:szCs w:val="24"/>
          <w:lang w:val="de-AT"/>
        </w:rPr>
        <w:t>*innen</w:t>
      </w:r>
      <w:r w:rsidR="00AF1D71" w:rsidRPr="00F21603">
        <w:rPr>
          <w:rFonts w:ascii="Arial" w:hAnsi="Arial" w:cs="Arial"/>
          <w:sz w:val="24"/>
          <w:szCs w:val="24"/>
          <w:lang w:val="de-AT"/>
        </w:rPr>
        <w:t>.</w:t>
      </w:r>
    </w:p>
    <w:p w14:paraId="4BB6D8D1" w14:textId="77777777" w:rsidR="00E91C9B" w:rsidRPr="00F21603" w:rsidRDefault="00E91C9B" w:rsidP="00F21603">
      <w:pPr>
        <w:pStyle w:val="Kommentartext"/>
        <w:rPr>
          <w:rFonts w:ascii="Arial" w:hAnsi="Arial" w:cs="Arial"/>
          <w:sz w:val="24"/>
          <w:szCs w:val="24"/>
          <w:lang w:val="de-AT"/>
        </w:rPr>
      </w:pPr>
    </w:p>
    <w:p w14:paraId="025554F6" w14:textId="67146225" w:rsidR="0057549D" w:rsidRPr="00F21603" w:rsidRDefault="00BB3ECE" w:rsidP="00F21603">
      <w:pPr>
        <w:pStyle w:val="Kommentartext"/>
        <w:rPr>
          <w:rFonts w:ascii="Arial" w:hAnsi="Arial" w:cs="Arial"/>
          <w:b/>
          <w:bCs/>
          <w:sz w:val="24"/>
          <w:szCs w:val="24"/>
          <w:lang w:val="de-AT"/>
        </w:rPr>
      </w:pPr>
      <w:r w:rsidRPr="00F21603">
        <w:rPr>
          <w:rFonts w:ascii="Arial" w:hAnsi="Arial" w:cs="Arial"/>
          <w:b/>
          <w:bCs/>
          <w:sz w:val="24"/>
          <w:szCs w:val="24"/>
          <w:lang w:val="de-AT"/>
        </w:rPr>
        <w:t>Verbrauchersegmente hinsichtlich gesunder Ernährung</w:t>
      </w:r>
    </w:p>
    <w:p w14:paraId="237D863E" w14:textId="53A1090F" w:rsidR="00214191" w:rsidRPr="00F21603" w:rsidRDefault="00F203A8" w:rsidP="00F21603">
      <w:pPr>
        <w:pStyle w:val="Kommentartext"/>
        <w:rPr>
          <w:rFonts w:ascii="Arial" w:hAnsi="Arial" w:cs="Arial"/>
          <w:sz w:val="24"/>
          <w:szCs w:val="24"/>
          <w:lang w:val="de-AT"/>
        </w:rPr>
      </w:pPr>
      <w:r w:rsidRPr="00F21603">
        <w:rPr>
          <w:rFonts w:ascii="Arial" w:hAnsi="Arial" w:cs="Arial"/>
          <w:sz w:val="24"/>
          <w:szCs w:val="24"/>
          <w:lang w:val="de-AT"/>
        </w:rPr>
        <w:t>Durch</w:t>
      </w:r>
      <w:r w:rsidR="00214191" w:rsidRPr="00F21603">
        <w:rPr>
          <w:rFonts w:ascii="Arial" w:hAnsi="Arial" w:cs="Arial"/>
          <w:sz w:val="24"/>
          <w:szCs w:val="24"/>
          <w:lang w:val="de-AT"/>
        </w:rPr>
        <w:t xml:space="preserve"> die Verknüpfung von </w:t>
      </w:r>
      <w:r w:rsidR="00CF0BC8">
        <w:rPr>
          <w:rFonts w:ascii="Arial" w:hAnsi="Arial" w:cs="Arial"/>
          <w:sz w:val="24"/>
          <w:szCs w:val="24"/>
          <w:lang w:val="de-AT"/>
        </w:rPr>
        <w:t xml:space="preserve">bestimmten </w:t>
      </w:r>
      <w:r w:rsidR="00214191" w:rsidRPr="00F21603">
        <w:rPr>
          <w:rFonts w:ascii="Arial" w:hAnsi="Arial" w:cs="Arial"/>
          <w:sz w:val="24"/>
          <w:szCs w:val="24"/>
          <w:lang w:val="de-AT"/>
        </w:rPr>
        <w:t xml:space="preserve">Lebensmittel mit individuellen und kollektiven Werten, die das Verhalten und den kognitiven Prozess der Konsumenten beeinflussen, wurde der Diskursrahmen für gesunde Ernährung geschaffen </w:t>
      </w:r>
      <w:r w:rsidR="00C10289" w:rsidRPr="00F21603">
        <w:rPr>
          <w:rFonts w:ascii="Arial" w:hAnsi="Arial" w:cs="Arial"/>
          <w:sz w:val="24"/>
          <w:szCs w:val="24"/>
          <w:lang w:val="de-AT"/>
        </w:rPr>
        <w:fldChar w:fldCharType="begin" w:fldLock="1"/>
      </w:r>
      <w:r w:rsidR="000E4EF0" w:rsidRPr="00F21603">
        <w:rPr>
          <w:rFonts w:ascii="Arial" w:hAnsi="Arial" w:cs="Arial"/>
          <w:sz w:val="24"/>
          <w:szCs w:val="24"/>
          <w:lang w:val="de-AT"/>
        </w:rPr>
        <w:instrText>ADDIN CSL_CITATION {"citationItems":[{"id":"ITEM-1","itemData":{"ISBN":"ISSN 0907 2101 Food-related","abstract":"1. Sur v e ying end user s is a major component of mar k et sur v eillance in the f ood industr y . End user s' v alue per ce ption is the f inal deter minant of ho w all other actor s in the f ood c hain can mak e a li ving . T o per cei v e tr ends tha t af f ect ho w consumer s v alue f ood pr oducts is ther ef or e an impor tant input to a f ood pr oducer's str a te g y f or ma tion. 2. Lif e style measur ement has been widel y used in mar k eting , namel y f or guiding ad v er tising str a te g y , se gmenta tion, and pr oduct de v elopment. Lif e style is potentiall y a v alua b le tool f or mar k et sur v eillance . 3. Lif e style studies as the y ar e cur r entl y done in mar k et r esear c h ha v e been cr iticiz ed on se v er al g r ounds: the y lac k a theor etical f ounda tion, the y lac k cr oss-cultur al v alidity , their a bility to pr edict beha viour is limited , and the der i v a tion of so-called basic lif e style dimensions is unc lear . 4. W e pr opose an instr ument called f ood-r ela ted lif e style tha t a v oids these pr ob lems and is g ear ed to w ar ds mar k et sur v eillance in the f ood industr y . It is r ooted in the co gniti v e a ppr oac h to e xplain human beha viour , and the main asser tion is tha t lif e style is ho w consumer s mentall y link pr oducts to the a ttainment of lif e v alues. 5. F ood-r ela ted lif e style has f i v e components: higher -or der a ttr ib utes of f ood pr oducts, consequences of using f ood pr oducts, shopping scr ipts, meal pr e par a tion scr ipts, and usa g e situa tions. 6. An e xplor a tor y stud y car r ied out in Denmar k, F r ance , and England led to the identif ica tion of 21 cr oss-cultur all y v alid elements of f ood-r ela ted lif e style . T hese ar e: shopping scr ipts - impor tance of pr oduct inf or ma tion, a ttitude to w ar ds ad v er tising , jo y of shopping , speciality shops, pr ice cr iter ion, shopping list; higher -or der pr oduct a ttr ib utes - health, pr ice-quality r ela tion, no v elty , or g anic pr oducts; meal pr e par a tion scr ipts - in v olv ement with cooking , looking after ne w w a ys, con v enience , w hole f amil y , spontaneity , w omens' task; usa g e situa tions - snac ks v er sus meals, social e v ent; desir ed consequences - self-fulf ilment in f ood , secur ity , social r ela tionships. 7. T his stud y r esulted in a sur v e y instr ument with 63 questions, w hic h can be used f or cr oss- cultur al mar k et sur v eillance . It can be supp…","author":[{"dropping-particle":"","family":"Grunert","given":"Klaus G.","non-dropping-particle":"","parse-names":false,"suffix":""},{"dropping-particle":"","family":"Brunso","given":"Karen","non-dropping-particle":"","parse-names":false,"suffix":""},{"dropping-particle":"","family":"Bisp","given":"Soren","non-dropping-particle":"","parse-names":false,"suffix":""}],"container-title":"MAPP Working Paper","id":"ITEM-1","issue":"10","issued":{"date-parts":[["1993"]]},"page":"1-44","title":"Food-related life style. Development of a cross-culturally valid instrument for market surveillance","type":"article-journal","volume":"12"},"uris":["http://www.mendeley.com/documents/?uuid=c90276bc-d97a-4e99-8108-543b9b3358af","http://www.mendeley.com/documents/?uuid=cdbd2644-eb57-4ed9-92b5-f25697ba19ee"]},{"id":"ITEM-2","itemData":{"DOI":"10.1300/J038v07n04","abstract":"The food manufacturing industry in Australia reflects a very competitive marketplace, one in which sales promotion is exten- sively used. Some would argue that this activity is actually a prerequisite to doing business–just because it is such a competitive environment. Al- though much is understood about the purpose of promotional activity, less is known about what in reality occurs at an aggregate level, and what the potential implications of promotional behaviour may be in years to come. Indeed, a concern over the potential impact of the overuse of price-based promotions saw the development of a review of marketing practice in the food manufacturing industry. One hundred and fifty-eight senior managers responsible for promotional budgets were surveyed to identify their behaviour and beliefs about sales promotion. Interestingly, after examining their claimed objectives, actual techniques and the mea- surement tools utilized, a number of discrepancies became evident.Man- agers frequently use a range of techniques, most commonly product sampling, point of purchase displays, free product and cut prices, with the key objectives of attracting new customers, improving brand aware- ness and stimulating sales. The techniques and objectives employed sup- ported the claimed role of sales promotion as a tool to enhance brand/market position, although priced-based promotions, which are more associated with competitive retaliation, were also commonly used. Despite claiming to be conscious of the potential damage to brand equity if price-based promotions are used excessively, little research was employed to test this.","author":[{"dropping-particle":"","family":"Reid","given":"Mike","non-dropping-particle":"","parse-names":false,"suffix":""},{"dropping-particle":"","family":"Li","given":"Elton","non-dropping-particle":"","parse-names":false,"suffix":""},{"dropping-particle":"","family":"Bruwer","given":"Johan","non-dropping-particle":"","parse-names":false,"suffix":""}],"container-title":"Journal of Food Products Marketing","id":"ITEM-2","issue":"4","issued":{"date-parts":[["2008"]]},"page":"19-35","title":"Journal of Food Products Food-Related Lifestyles in a Cross-Cultural Context","type":"article-journal","volume":"7"},"uris":["http://www.mendeley.com/documents/?uuid=94f86c43-be4d-4707-8556-0ef1ecf3edac","http://www.mendeley.com/documents/?uuid=5b86a803-8e2b-4fe8-960b-e866e8d50ad4","http://www.mendeley.com/documents/?uuid=05ebe9d3-b965-40b3-86e1-db2d96150d00"]}],"mendeley":{"formattedCitation":"(Grunert, Brunso, &amp; Bisp, 1993; Reid, Li, &amp; Bruwer, 2008)","plainTextFormattedCitation":"(Grunert, Brunso, &amp; Bisp, 1993; Reid, Li, &amp; Bruwer, 2008)","previouslyFormattedCitation":"(Grunert, Brunso, &amp; Bisp, 1993; Reid, Li, &amp; Bruwer, 2008)"},"properties":{"noteIndex":0},"schema":"https://github.com/citation-style-language/schema/raw/master/csl-citation.json"}</w:instrText>
      </w:r>
      <w:r w:rsidR="00C10289" w:rsidRPr="00F21603">
        <w:rPr>
          <w:rFonts w:ascii="Arial" w:hAnsi="Arial" w:cs="Arial"/>
          <w:sz w:val="24"/>
          <w:szCs w:val="24"/>
          <w:lang w:val="de-AT"/>
        </w:rPr>
        <w:fldChar w:fldCharType="separate"/>
      </w:r>
      <w:r w:rsidR="00873571" w:rsidRPr="00F21603">
        <w:rPr>
          <w:rFonts w:ascii="Arial" w:hAnsi="Arial" w:cs="Arial"/>
          <w:noProof/>
          <w:sz w:val="24"/>
          <w:szCs w:val="24"/>
          <w:lang w:val="de-AT"/>
        </w:rPr>
        <w:t>(Grunert, Brunso, &amp; Bisp, 1993; Reid, Li, &amp; Bruwer, 2008)</w:t>
      </w:r>
      <w:r w:rsidR="00C10289" w:rsidRPr="00F21603">
        <w:rPr>
          <w:rFonts w:ascii="Arial" w:hAnsi="Arial" w:cs="Arial"/>
          <w:sz w:val="24"/>
          <w:szCs w:val="24"/>
          <w:lang w:val="de-AT"/>
        </w:rPr>
        <w:fldChar w:fldCharType="end"/>
      </w:r>
      <w:r w:rsidR="00C10289" w:rsidRPr="00F21603">
        <w:rPr>
          <w:rFonts w:ascii="Arial" w:hAnsi="Arial" w:cs="Arial"/>
          <w:sz w:val="24"/>
          <w:szCs w:val="24"/>
          <w:lang w:val="de-AT"/>
        </w:rPr>
        <w:t>.</w:t>
      </w:r>
      <w:r w:rsidR="00214191" w:rsidRPr="00F21603">
        <w:rPr>
          <w:rFonts w:ascii="Arial" w:hAnsi="Arial" w:cs="Arial"/>
          <w:sz w:val="24"/>
          <w:szCs w:val="24"/>
          <w:lang w:val="de-AT"/>
        </w:rPr>
        <w:t xml:space="preserve"> Später haben Chrysochou et al. (2010) d</w:t>
      </w:r>
      <w:r w:rsidR="008041C4">
        <w:rPr>
          <w:rFonts w:ascii="Arial" w:hAnsi="Arial" w:cs="Arial"/>
          <w:sz w:val="24"/>
          <w:szCs w:val="24"/>
          <w:lang w:val="de-AT"/>
        </w:rPr>
        <w:t>iese</w:t>
      </w:r>
      <w:r w:rsidR="00214191" w:rsidRPr="00F21603">
        <w:rPr>
          <w:rFonts w:ascii="Arial" w:hAnsi="Arial" w:cs="Arial"/>
          <w:sz w:val="24"/>
          <w:szCs w:val="24"/>
          <w:lang w:val="de-AT"/>
        </w:rPr>
        <w:t xml:space="preserve">s Modell weiterentwickelt, indem sie zwischen </w:t>
      </w:r>
      <w:proofErr w:type="spellStart"/>
      <w:r w:rsidR="00214191" w:rsidRPr="00F21603">
        <w:rPr>
          <w:rFonts w:ascii="Arial" w:hAnsi="Arial" w:cs="Arial"/>
          <w:sz w:val="24"/>
          <w:szCs w:val="24"/>
          <w:lang w:val="de-AT"/>
        </w:rPr>
        <w:t>Experi</w:t>
      </w:r>
      <w:r w:rsidR="00B004A1" w:rsidRPr="00F21603">
        <w:rPr>
          <w:rFonts w:ascii="Arial" w:hAnsi="Arial" w:cs="Arial"/>
          <w:sz w:val="24"/>
          <w:szCs w:val="24"/>
          <w:lang w:val="de-AT"/>
        </w:rPr>
        <w:t>m</w:t>
      </w:r>
      <w:r w:rsidR="00214191" w:rsidRPr="00F21603">
        <w:rPr>
          <w:rFonts w:ascii="Arial" w:hAnsi="Arial" w:cs="Arial"/>
          <w:sz w:val="24"/>
          <w:szCs w:val="24"/>
          <w:lang w:val="de-AT"/>
        </w:rPr>
        <w:t>entalismus</w:t>
      </w:r>
      <w:proofErr w:type="spellEnd"/>
      <w:r w:rsidR="00214191" w:rsidRPr="00F21603">
        <w:rPr>
          <w:rFonts w:ascii="Arial" w:hAnsi="Arial" w:cs="Arial"/>
          <w:sz w:val="24"/>
          <w:szCs w:val="24"/>
          <w:lang w:val="de-AT"/>
        </w:rPr>
        <w:t xml:space="preserve"> versus </w:t>
      </w:r>
      <w:r w:rsidR="00214191" w:rsidRPr="00F21603">
        <w:rPr>
          <w:rFonts w:ascii="Arial" w:hAnsi="Arial" w:cs="Arial"/>
          <w:sz w:val="24"/>
          <w:szCs w:val="24"/>
          <w:lang w:val="de-AT"/>
        </w:rPr>
        <w:t>Funktionalismus und Idealismus versus Pragmatismus unterschieden haben</w:t>
      </w:r>
      <w:r w:rsidR="00323DB2" w:rsidRPr="00F21603">
        <w:rPr>
          <w:rFonts w:ascii="Arial" w:hAnsi="Arial" w:cs="Arial"/>
          <w:sz w:val="24"/>
          <w:szCs w:val="24"/>
          <w:lang w:val="de-AT"/>
        </w:rPr>
        <w:t>. Dieser Ansatz hat</w:t>
      </w:r>
      <w:r w:rsidR="00214191" w:rsidRPr="00F21603">
        <w:rPr>
          <w:rFonts w:ascii="Arial" w:hAnsi="Arial" w:cs="Arial"/>
          <w:sz w:val="24"/>
          <w:szCs w:val="24"/>
          <w:lang w:val="de-AT"/>
        </w:rPr>
        <w:t xml:space="preserve"> zu vier Haupt-Subjektpositionen geführt: die </w:t>
      </w:r>
      <w:r w:rsidR="00F7453A">
        <w:rPr>
          <w:rFonts w:ascii="Arial" w:hAnsi="Arial" w:cs="Arial"/>
          <w:sz w:val="24"/>
          <w:szCs w:val="24"/>
          <w:lang w:val="de-AT"/>
        </w:rPr>
        <w:t>„</w:t>
      </w:r>
      <w:r w:rsidR="00214191" w:rsidRPr="00F21603">
        <w:rPr>
          <w:rFonts w:ascii="Arial" w:hAnsi="Arial" w:cs="Arial"/>
          <w:sz w:val="24"/>
          <w:szCs w:val="24"/>
          <w:lang w:val="de-AT"/>
        </w:rPr>
        <w:t>Gewöhnlichen</w:t>
      </w:r>
      <w:r w:rsidR="00F7453A">
        <w:rPr>
          <w:rFonts w:ascii="Arial" w:hAnsi="Arial" w:cs="Arial"/>
          <w:sz w:val="24"/>
          <w:szCs w:val="24"/>
          <w:lang w:val="de-AT"/>
        </w:rPr>
        <w:t>“</w:t>
      </w:r>
      <w:r w:rsidR="00214191" w:rsidRPr="00F21603">
        <w:rPr>
          <w:rFonts w:ascii="Arial" w:hAnsi="Arial" w:cs="Arial"/>
          <w:sz w:val="24"/>
          <w:szCs w:val="24"/>
          <w:lang w:val="de-AT"/>
        </w:rPr>
        <w:t xml:space="preserve">, die </w:t>
      </w:r>
      <w:r w:rsidR="00F7453A">
        <w:rPr>
          <w:rFonts w:ascii="Arial" w:hAnsi="Arial" w:cs="Arial"/>
          <w:sz w:val="24"/>
          <w:szCs w:val="24"/>
          <w:lang w:val="de-AT"/>
        </w:rPr>
        <w:t>„</w:t>
      </w:r>
      <w:r w:rsidR="00214191" w:rsidRPr="00F21603">
        <w:rPr>
          <w:rFonts w:ascii="Arial" w:hAnsi="Arial" w:cs="Arial"/>
          <w:sz w:val="24"/>
          <w:szCs w:val="24"/>
          <w:lang w:val="de-AT"/>
        </w:rPr>
        <w:t>Nachsichtigen</w:t>
      </w:r>
      <w:r w:rsidR="00F7453A">
        <w:rPr>
          <w:rFonts w:ascii="Arial" w:hAnsi="Arial" w:cs="Arial"/>
          <w:sz w:val="24"/>
          <w:szCs w:val="24"/>
          <w:lang w:val="de-AT"/>
        </w:rPr>
        <w:t>“</w:t>
      </w:r>
      <w:r w:rsidR="00214191" w:rsidRPr="00F21603">
        <w:rPr>
          <w:rFonts w:ascii="Arial" w:hAnsi="Arial" w:cs="Arial"/>
          <w:sz w:val="24"/>
          <w:szCs w:val="24"/>
          <w:lang w:val="de-AT"/>
        </w:rPr>
        <w:t xml:space="preserve">, die </w:t>
      </w:r>
      <w:r w:rsidR="00F7453A">
        <w:rPr>
          <w:rFonts w:ascii="Arial" w:hAnsi="Arial" w:cs="Arial"/>
          <w:sz w:val="24"/>
          <w:szCs w:val="24"/>
          <w:lang w:val="de-AT"/>
        </w:rPr>
        <w:t>„</w:t>
      </w:r>
      <w:r w:rsidR="00214191" w:rsidRPr="00F21603">
        <w:rPr>
          <w:rFonts w:ascii="Arial" w:hAnsi="Arial" w:cs="Arial"/>
          <w:sz w:val="24"/>
          <w:szCs w:val="24"/>
          <w:lang w:val="de-AT"/>
        </w:rPr>
        <w:t>Kontrollierten</w:t>
      </w:r>
      <w:r w:rsidR="00F7453A">
        <w:rPr>
          <w:rFonts w:ascii="Arial" w:hAnsi="Arial" w:cs="Arial"/>
          <w:sz w:val="24"/>
          <w:szCs w:val="24"/>
          <w:lang w:val="de-AT"/>
        </w:rPr>
        <w:t>“</w:t>
      </w:r>
      <w:r w:rsidR="00214191" w:rsidRPr="00F21603">
        <w:rPr>
          <w:rFonts w:ascii="Arial" w:hAnsi="Arial" w:cs="Arial"/>
          <w:sz w:val="24"/>
          <w:szCs w:val="24"/>
          <w:lang w:val="de-AT"/>
        </w:rPr>
        <w:t xml:space="preserve"> und die </w:t>
      </w:r>
      <w:r w:rsidR="00F7453A">
        <w:rPr>
          <w:rFonts w:ascii="Arial" w:hAnsi="Arial" w:cs="Arial"/>
          <w:sz w:val="24"/>
          <w:szCs w:val="24"/>
          <w:lang w:val="de-AT"/>
        </w:rPr>
        <w:t>„</w:t>
      </w:r>
      <w:r w:rsidR="00214191" w:rsidRPr="00F21603">
        <w:rPr>
          <w:rFonts w:ascii="Arial" w:hAnsi="Arial" w:cs="Arial"/>
          <w:sz w:val="24"/>
          <w:szCs w:val="24"/>
          <w:lang w:val="de-AT"/>
        </w:rPr>
        <w:t>Resignierten</w:t>
      </w:r>
      <w:r w:rsidR="00F7453A">
        <w:rPr>
          <w:rFonts w:ascii="Arial" w:hAnsi="Arial" w:cs="Arial"/>
          <w:sz w:val="24"/>
          <w:szCs w:val="24"/>
          <w:lang w:val="de-AT"/>
        </w:rPr>
        <w:t>“</w:t>
      </w:r>
      <w:r w:rsidR="00214191" w:rsidRPr="00F21603">
        <w:rPr>
          <w:rFonts w:ascii="Arial" w:hAnsi="Arial" w:cs="Arial"/>
          <w:sz w:val="24"/>
          <w:szCs w:val="24"/>
          <w:lang w:val="de-AT"/>
        </w:rPr>
        <w:t>.</w:t>
      </w:r>
    </w:p>
    <w:p w14:paraId="028575EB" w14:textId="1000111A" w:rsidR="00214191" w:rsidRPr="00F21603" w:rsidRDefault="00214191" w:rsidP="00F21603">
      <w:pPr>
        <w:pStyle w:val="Kommentartext"/>
        <w:rPr>
          <w:rFonts w:ascii="Arial" w:hAnsi="Arial" w:cs="Arial"/>
          <w:sz w:val="24"/>
          <w:szCs w:val="24"/>
          <w:lang w:val="de-AT"/>
        </w:rPr>
      </w:pPr>
      <w:r w:rsidRPr="00F21603">
        <w:rPr>
          <w:rFonts w:ascii="Arial" w:hAnsi="Arial" w:cs="Arial"/>
          <w:sz w:val="24"/>
          <w:szCs w:val="24"/>
          <w:lang w:val="de-AT"/>
        </w:rPr>
        <w:t>Basierend auf den vier Subjektpositionen wurden</w:t>
      </w:r>
      <w:r w:rsidR="00F868ED" w:rsidRPr="00F21603">
        <w:rPr>
          <w:rFonts w:ascii="Arial" w:hAnsi="Arial" w:cs="Arial"/>
          <w:sz w:val="24"/>
          <w:szCs w:val="24"/>
          <w:lang w:val="de-AT"/>
        </w:rPr>
        <w:t xml:space="preserve"> außerdem</w:t>
      </w:r>
      <w:r w:rsidRPr="00F21603">
        <w:rPr>
          <w:rFonts w:ascii="Arial" w:hAnsi="Arial" w:cs="Arial"/>
          <w:sz w:val="24"/>
          <w:szCs w:val="24"/>
          <w:lang w:val="de-AT"/>
        </w:rPr>
        <w:t xml:space="preserve"> drei Verbrauchergruppen identifiziert</w:t>
      </w:r>
      <w:r w:rsidR="00F868ED" w:rsidRPr="00F21603">
        <w:rPr>
          <w:rFonts w:ascii="Arial" w:hAnsi="Arial" w:cs="Arial"/>
          <w:sz w:val="24"/>
          <w:szCs w:val="24"/>
          <w:lang w:val="de-AT"/>
        </w:rPr>
        <w:t xml:space="preserve">: </w:t>
      </w:r>
      <w:r w:rsidR="00AF1870" w:rsidRPr="00F21603">
        <w:rPr>
          <w:rFonts w:ascii="Arial" w:hAnsi="Arial" w:cs="Arial"/>
          <w:sz w:val="24"/>
          <w:szCs w:val="24"/>
          <w:lang w:val="de-AT"/>
        </w:rPr>
        <w:t>D</w:t>
      </w:r>
      <w:r w:rsidRPr="00F21603">
        <w:rPr>
          <w:rFonts w:ascii="Arial" w:hAnsi="Arial" w:cs="Arial"/>
          <w:sz w:val="24"/>
          <w:szCs w:val="24"/>
          <w:lang w:val="de-AT"/>
        </w:rPr>
        <w:t xml:space="preserve">ie </w:t>
      </w:r>
      <w:r w:rsidR="00EC51F5">
        <w:rPr>
          <w:rFonts w:ascii="Arial" w:hAnsi="Arial" w:cs="Arial"/>
          <w:sz w:val="24"/>
          <w:szCs w:val="24"/>
          <w:lang w:val="de-AT"/>
        </w:rPr>
        <w:t>„</w:t>
      </w:r>
      <w:r w:rsidRPr="00F21603">
        <w:rPr>
          <w:rFonts w:ascii="Arial" w:hAnsi="Arial" w:cs="Arial"/>
          <w:sz w:val="24"/>
          <w:szCs w:val="24"/>
          <w:lang w:val="de-AT"/>
        </w:rPr>
        <w:t>Idealisten</w:t>
      </w:r>
      <w:r w:rsidR="00EC51F5">
        <w:rPr>
          <w:rFonts w:ascii="Arial" w:hAnsi="Arial" w:cs="Arial"/>
          <w:sz w:val="24"/>
          <w:szCs w:val="24"/>
          <w:lang w:val="de-AT"/>
        </w:rPr>
        <w:t>“</w:t>
      </w:r>
      <w:r w:rsidRPr="00F21603">
        <w:rPr>
          <w:rFonts w:ascii="Arial" w:hAnsi="Arial" w:cs="Arial"/>
          <w:sz w:val="24"/>
          <w:szCs w:val="24"/>
          <w:lang w:val="de-AT"/>
        </w:rPr>
        <w:t xml:space="preserve">, </w:t>
      </w:r>
      <w:r w:rsidR="00346234" w:rsidRPr="00F21603">
        <w:rPr>
          <w:rFonts w:ascii="Arial" w:hAnsi="Arial" w:cs="Arial"/>
          <w:sz w:val="24"/>
          <w:szCs w:val="24"/>
          <w:lang w:val="de-AT"/>
        </w:rPr>
        <w:t>welche</w:t>
      </w:r>
      <w:r w:rsidRPr="00F21603">
        <w:rPr>
          <w:rFonts w:ascii="Arial" w:hAnsi="Arial" w:cs="Arial"/>
          <w:sz w:val="24"/>
          <w:szCs w:val="24"/>
          <w:lang w:val="de-AT"/>
        </w:rPr>
        <w:t xml:space="preserve"> nachsichtig und kontrolliert sind. Die </w:t>
      </w:r>
      <w:r w:rsidR="00EC51F5">
        <w:rPr>
          <w:rFonts w:ascii="Arial" w:hAnsi="Arial" w:cs="Arial"/>
          <w:sz w:val="24"/>
          <w:szCs w:val="24"/>
          <w:lang w:val="de-AT"/>
        </w:rPr>
        <w:t>„</w:t>
      </w:r>
      <w:r w:rsidRPr="00F21603">
        <w:rPr>
          <w:rFonts w:ascii="Arial" w:hAnsi="Arial" w:cs="Arial"/>
          <w:sz w:val="24"/>
          <w:szCs w:val="24"/>
          <w:lang w:val="de-AT"/>
        </w:rPr>
        <w:t>Pragmatiker</w:t>
      </w:r>
      <w:r w:rsidR="00E56299">
        <w:rPr>
          <w:rFonts w:ascii="Arial" w:hAnsi="Arial" w:cs="Arial"/>
          <w:sz w:val="24"/>
          <w:szCs w:val="24"/>
          <w:lang w:val="de-AT"/>
        </w:rPr>
        <w:t>“</w:t>
      </w:r>
      <w:r w:rsidRPr="00F21603">
        <w:rPr>
          <w:rFonts w:ascii="Arial" w:hAnsi="Arial" w:cs="Arial"/>
          <w:sz w:val="24"/>
          <w:szCs w:val="24"/>
          <w:lang w:val="de-AT"/>
        </w:rPr>
        <w:t xml:space="preserve">, </w:t>
      </w:r>
      <w:r w:rsidR="00346234" w:rsidRPr="00F21603">
        <w:rPr>
          <w:rFonts w:ascii="Arial" w:hAnsi="Arial" w:cs="Arial"/>
          <w:sz w:val="24"/>
          <w:szCs w:val="24"/>
          <w:lang w:val="de-AT"/>
        </w:rPr>
        <w:t>welche</w:t>
      </w:r>
      <w:r w:rsidRPr="00F21603">
        <w:rPr>
          <w:rFonts w:ascii="Arial" w:hAnsi="Arial" w:cs="Arial"/>
          <w:sz w:val="24"/>
          <w:szCs w:val="24"/>
          <w:lang w:val="de-AT"/>
        </w:rPr>
        <w:t xml:space="preserve"> gewöhnlich und </w:t>
      </w:r>
      <w:r w:rsidR="000251E1" w:rsidRPr="00F21603">
        <w:rPr>
          <w:rFonts w:ascii="Arial" w:hAnsi="Arial" w:cs="Arial"/>
          <w:sz w:val="24"/>
          <w:szCs w:val="24"/>
          <w:lang w:val="de-AT"/>
        </w:rPr>
        <w:t>resigniert</w:t>
      </w:r>
      <w:r w:rsidRPr="00F21603">
        <w:rPr>
          <w:rFonts w:ascii="Arial" w:hAnsi="Arial" w:cs="Arial"/>
          <w:sz w:val="24"/>
          <w:szCs w:val="24"/>
          <w:lang w:val="de-AT"/>
        </w:rPr>
        <w:t xml:space="preserve"> sind. Und die </w:t>
      </w:r>
      <w:r w:rsidR="00EC51F5">
        <w:rPr>
          <w:rFonts w:ascii="Arial" w:hAnsi="Arial" w:cs="Arial"/>
          <w:sz w:val="24"/>
          <w:szCs w:val="24"/>
          <w:lang w:val="de-AT"/>
        </w:rPr>
        <w:t>„</w:t>
      </w:r>
      <w:r w:rsidR="006513AA">
        <w:rPr>
          <w:rFonts w:ascii="Arial" w:hAnsi="Arial" w:cs="Arial"/>
          <w:sz w:val="24"/>
          <w:szCs w:val="24"/>
          <w:lang w:val="de-AT"/>
        </w:rPr>
        <w:t>Durchschnittlichen</w:t>
      </w:r>
      <w:r w:rsidR="00EC51F5">
        <w:rPr>
          <w:rFonts w:ascii="Arial" w:hAnsi="Arial" w:cs="Arial"/>
          <w:sz w:val="24"/>
          <w:szCs w:val="24"/>
          <w:lang w:val="de-AT"/>
        </w:rPr>
        <w:t>“</w:t>
      </w:r>
      <w:r w:rsidRPr="00F21603">
        <w:rPr>
          <w:rFonts w:ascii="Arial" w:hAnsi="Arial" w:cs="Arial"/>
          <w:sz w:val="24"/>
          <w:szCs w:val="24"/>
          <w:lang w:val="de-AT"/>
        </w:rPr>
        <w:t xml:space="preserve">, </w:t>
      </w:r>
      <w:r w:rsidR="00C551D5" w:rsidRPr="00F21603">
        <w:rPr>
          <w:rFonts w:ascii="Arial" w:hAnsi="Arial" w:cs="Arial"/>
          <w:sz w:val="24"/>
          <w:szCs w:val="24"/>
          <w:lang w:val="de-AT"/>
        </w:rPr>
        <w:t>welche</w:t>
      </w:r>
      <w:r w:rsidRPr="00F21603">
        <w:rPr>
          <w:rFonts w:ascii="Arial" w:hAnsi="Arial" w:cs="Arial"/>
          <w:sz w:val="24"/>
          <w:szCs w:val="24"/>
          <w:lang w:val="de-AT"/>
        </w:rPr>
        <w:t xml:space="preserve"> alle vier </w:t>
      </w:r>
      <w:r w:rsidR="00A9715C" w:rsidRPr="00F21603">
        <w:rPr>
          <w:rFonts w:ascii="Arial" w:hAnsi="Arial" w:cs="Arial"/>
          <w:sz w:val="24"/>
          <w:szCs w:val="24"/>
          <w:lang w:val="de-AT"/>
        </w:rPr>
        <w:t xml:space="preserve">der </w:t>
      </w:r>
      <w:r w:rsidRPr="00F21603">
        <w:rPr>
          <w:rFonts w:ascii="Arial" w:hAnsi="Arial" w:cs="Arial"/>
          <w:sz w:val="24"/>
          <w:szCs w:val="24"/>
          <w:lang w:val="de-AT"/>
        </w:rPr>
        <w:t>oben genannten Subjektpositionen aufweisen</w:t>
      </w:r>
      <w:r w:rsidR="00D81B4A" w:rsidRPr="00F21603">
        <w:rPr>
          <w:rFonts w:ascii="Arial" w:hAnsi="Arial" w:cs="Arial"/>
          <w:sz w:val="24"/>
          <w:szCs w:val="24"/>
          <w:lang w:val="de-AT"/>
        </w:rPr>
        <w:t xml:space="preserve"> </w:t>
      </w:r>
      <w:r w:rsidR="00D81B4A" w:rsidRPr="00F21603">
        <w:rPr>
          <w:rFonts w:ascii="Arial" w:hAnsi="Arial" w:cs="Arial"/>
          <w:sz w:val="24"/>
          <w:szCs w:val="24"/>
          <w:lang w:val="de-AT"/>
        </w:rPr>
        <w:fldChar w:fldCharType="begin" w:fldLock="1"/>
      </w:r>
      <w:r w:rsidR="000E4EF0" w:rsidRPr="00F21603">
        <w:rPr>
          <w:rFonts w:ascii="Arial" w:hAnsi="Arial" w:cs="Arial"/>
          <w:sz w:val="24"/>
          <w:szCs w:val="24"/>
          <w:lang w:val="de-AT"/>
        </w:rPr>
        <w:instrText>ADDIN CSL_CITATION {"citationItems":[{"id":"ITEM-1","itemData":{"DOI":"10.1016/j.appet.2010.06.015","ISSN":"01956663","PMID":"20600410","abstract":"This paper proposes a framework of discourses regarding consumers' healthy eating as a useful conceptual scheme for market segmentation purposes. The objectives are: (a) to identify the appropriate number of health-related segments based on the underlying discursive subject positions of the framework, (b) to validate and further describe the segments based on their socio-demographic characteristics and attitudes towards healthy eating, and (c) to explore differences across segments in types of associations with food and health, as well as perceptions of food healthfulness.316 Danish consumers participated in a survey that included measures of the underlying subject positions of the proposed framework, followed by a word association task that aimed to explore types of associations with food and health, and perceptions of food healthfulness. A latent class clustering approach revealed three consumer segments: the Common, the Idealists and the Pragmatists. Based on the addressed objectives, differences across the segments are described and implications of findings are discussed. © 2010 Elsevier Ltd.","author":[{"dropping-particle":"","family":"Chrysochou","given":"Polymeros","non-dropping-particle":"","parse-names":false,"suffix":""},{"dropping-particle":"","family":"Askegaard","given":"Søren","non-dropping-particle":"","parse-names":false,"suffix":""},{"dropping-particle":"","family":"Grunert","given":"Klaus G.","non-dropping-particle":"","parse-names":false,"suffix":""},{"dropping-particle":"","family":"Kristensen","given":"Dorthe Brogård","non-dropping-particle":"","parse-names":false,"suffix":""}],"container-title":"Appetite","id":"ITEM-1","issue":"2","issued":{"date-parts":[["2010"]]},"page":"288-297","publisher":"Elsevier Ltd","title":"Social discourses of healthy eating. A market segmentation approach","type":"article-journal","volume":"55"},"uris":["http://www.mendeley.com/documents/?uuid=f0c492a0-3893-44ba-9c7f-87bcd96f3a98"]}],"mendeley":{"formattedCitation":"(Chrysochou, Askegaard, Grunert, &amp; Kristensen, 2010)","plainTextFormattedCitation":"(Chrysochou, Askegaard, Grunert, &amp; Kristensen, 2010)","previouslyFormattedCitation":"(Chrysochou, Askegaard, Grunert, &amp; Kristensen, 2010)"},"properties":{"noteIndex":0},"schema":"https://github.com/citation-style-language/schema/raw/master/csl-citation.json"}</w:instrText>
      </w:r>
      <w:r w:rsidR="00D81B4A" w:rsidRPr="00F21603">
        <w:rPr>
          <w:rFonts w:ascii="Arial" w:hAnsi="Arial" w:cs="Arial"/>
          <w:sz w:val="24"/>
          <w:szCs w:val="24"/>
          <w:lang w:val="de-AT"/>
        </w:rPr>
        <w:fldChar w:fldCharType="separate"/>
      </w:r>
      <w:r w:rsidR="00873571" w:rsidRPr="00F21603">
        <w:rPr>
          <w:rFonts w:ascii="Arial" w:hAnsi="Arial" w:cs="Arial"/>
          <w:noProof/>
          <w:sz w:val="24"/>
          <w:szCs w:val="24"/>
          <w:lang w:val="de-AT"/>
        </w:rPr>
        <w:t>(Chrysochou, Askegaard, Grunert, &amp; Kristensen, 2010)</w:t>
      </w:r>
      <w:r w:rsidR="00D81B4A" w:rsidRPr="00F21603">
        <w:rPr>
          <w:rFonts w:ascii="Arial" w:hAnsi="Arial" w:cs="Arial"/>
          <w:sz w:val="24"/>
          <w:szCs w:val="24"/>
          <w:lang w:val="de-AT"/>
        </w:rPr>
        <w:fldChar w:fldCharType="end"/>
      </w:r>
      <w:r w:rsidR="00D81B4A" w:rsidRPr="00F21603">
        <w:rPr>
          <w:rFonts w:ascii="Arial" w:hAnsi="Arial" w:cs="Arial"/>
          <w:sz w:val="24"/>
          <w:szCs w:val="24"/>
          <w:lang w:val="de-AT"/>
        </w:rPr>
        <w:t>.</w:t>
      </w:r>
    </w:p>
    <w:p w14:paraId="30E3D29E" w14:textId="77777777" w:rsidR="00B477FC" w:rsidRPr="00F21603" w:rsidRDefault="00B477FC" w:rsidP="00F21603">
      <w:pPr>
        <w:pStyle w:val="Kommentartext"/>
        <w:rPr>
          <w:rFonts w:ascii="Arial" w:hAnsi="Arial" w:cs="Arial"/>
          <w:sz w:val="24"/>
          <w:szCs w:val="24"/>
          <w:lang w:val="de-AT"/>
        </w:rPr>
      </w:pPr>
    </w:p>
    <w:p w14:paraId="23946243" w14:textId="0E5BA120" w:rsidR="00B477FC" w:rsidRPr="00F21603" w:rsidRDefault="00B477FC" w:rsidP="00F21603">
      <w:pPr>
        <w:pStyle w:val="Kommentartext"/>
        <w:rPr>
          <w:rFonts w:ascii="Arial" w:hAnsi="Arial" w:cs="Arial"/>
          <w:b/>
          <w:bCs/>
          <w:sz w:val="24"/>
          <w:szCs w:val="24"/>
          <w:lang w:val="de-AT"/>
        </w:rPr>
      </w:pPr>
      <w:r w:rsidRPr="00F21603">
        <w:rPr>
          <w:rFonts w:ascii="Arial" w:hAnsi="Arial" w:cs="Arial"/>
          <w:b/>
          <w:bCs/>
          <w:sz w:val="24"/>
          <w:szCs w:val="24"/>
          <w:lang w:val="de-AT"/>
        </w:rPr>
        <w:t>Tischgemeinschaft</w:t>
      </w:r>
      <w:r w:rsidR="00A303F6" w:rsidRPr="00F21603">
        <w:rPr>
          <w:rFonts w:ascii="Arial" w:hAnsi="Arial" w:cs="Arial"/>
          <w:b/>
          <w:bCs/>
          <w:sz w:val="24"/>
          <w:szCs w:val="24"/>
          <w:lang w:val="de-AT"/>
        </w:rPr>
        <w:t>en</w:t>
      </w:r>
    </w:p>
    <w:p w14:paraId="233A75EC" w14:textId="77777777" w:rsidR="00F9486C" w:rsidRPr="00F21603" w:rsidRDefault="0075001E" w:rsidP="00F21603">
      <w:pPr>
        <w:pStyle w:val="Kommentartext"/>
        <w:rPr>
          <w:rFonts w:ascii="Arial" w:hAnsi="Arial" w:cs="Arial"/>
          <w:sz w:val="24"/>
          <w:szCs w:val="24"/>
          <w:lang w:val="de-AT"/>
        </w:rPr>
      </w:pPr>
      <w:r w:rsidRPr="00F21603">
        <w:rPr>
          <w:rFonts w:ascii="Arial" w:hAnsi="Arial" w:cs="Arial"/>
          <w:sz w:val="24"/>
          <w:szCs w:val="24"/>
          <w:lang w:val="de-AT"/>
        </w:rPr>
        <w:t xml:space="preserve">Ein weiterer Punkt, der das Essverhalten der Menschen und damit ihr Gewicht beeinflusst, </w:t>
      </w:r>
      <w:r w:rsidR="00F90515" w:rsidRPr="00F21603">
        <w:rPr>
          <w:rFonts w:ascii="Arial" w:hAnsi="Arial" w:cs="Arial"/>
          <w:sz w:val="24"/>
          <w:szCs w:val="24"/>
          <w:lang w:val="de-AT"/>
        </w:rPr>
        <w:t>sind</w:t>
      </w:r>
      <w:r w:rsidRPr="00F21603">
        <w:rPr>
          <w:rFonts w:ascii="Arial" w:hAnsi="Arial" w:cs="Arial"/>
          <w:sz w:val="24"/>
          <w:szCs w:val="24"/>
          <w:lang w:val="de-AT"/>
        </w:rPr>
        <w:t xml:space="preserve"> </w:t>
      </w:r>
      <w:r w:rsidR="0012673A" w:rsidRPr="00F21603">
        <w:rPr>
          <w:rFonts w:ascii="Arial" w:hAnsi="Arial" w:cs="Arial"/>
          <w:sz w:val="24"/>
          <w:szCs w:val="24"/>
          <w:lang w:val="de-AT"/>
        </w:rPr>
        <w:t>Tischgemeinschaft</w:t>
      </w:r>
      <w:r w:rsidR="00F9486C" w:rsidRPr="00F21603">
        <w:rPr>
          <w:rFonts w:ascii="Arial" w:hAnsi="Arial" w:cs="Arial"/>
          <w:sz w:val="24"/>
          <w:szCs w:val="24"/>
          <w:lang w:val="de-AT"/>
        </w:rPr>
        <w:t>en.</w:t>
      </w:r>
    </w:p>
    <w:p w14:paraId="68AD391A" w14:textId="1AFF5C3A" w:rsidR="0075001E" w:rsidRPr="00F21603" w:rsidRDefault="009B066E" w:rsidP="00F21603">
      <w:pPr>
        <w:pStyle w:val="Kommentartext"/>
        <w:rPr>
          <w:rFonts w:ascii="Arial" w:hAnsi="Arial" w:cs="Arial"/>
          <w:sz w:val="24"/>
          <w:szCs w:val="24"/>
          <w:lang w:val="de-AT"/>
        </w:rPr>
      </w:pPr>
      <w:r w:rsidRPr="00F21603">
        <w:rPr>
          <w:rFonts w:ascii="Arial" w:hAnsi="Arial" w:cs="Arial"/>
          <w:sz w:val="24"/>
          <w:szCs w:val="24"/>
          <w:lang w:val="de-AT"/>
        </w:rPr>
        <w:t xml:space="preserve">Der Forschungsbereich der </w:t>
      </w:r>
      <w:r w:rsidR="002F0B45" w:rsidRPr="00F21603">
        <w:rPr>
          <w:rFonts w:ascii="Arial" w:hAnsi="Arial" w:cs="Arial"/>
          <w:sz w:val="24"/>
          <w:szCs w:val="24"/>
          <w:lang w:val="de-AT"/>
        </w:rPr>
        <w:t>Tischgemeinschaft</w:t>
      </w:r>
      <w:r w:rsidR="00294F80" w:rsidRPr="00F21603">
        <w:rPr>
          <w:rFonts w:ascii="Arial" w:hAnsi="Arial" w:cs="Arial"/>
          <w:sz w:val="24"/>
          <w:szCs w:val="24"/>
          <w:lang w:val="de-AT"/>
        </w:rPr>
        <w:t>en, im wissenschaftlichen Kontext und</w:t>
      </w:r>
      <w:r w:rsidR="0075001E" w:rsidRPr="00F21603">
        <w:rPr>
          <w:rFonts w:ascii="Arial" w:hAnsi="Arial" w:cs="Arial"/>
          <w:sz w:val="24"/>
          <w:szCs w:val="24"/>
          <w:lang w:val="de-AT"/>
        </w:rPr>
        <w:t xml:space="preserve"> auf Englisch </w:t>
      </w:r>
      <w:r w:rsidR="00EC57CD">
        <w:rPr>
          <w:rFonts w:ascii="Arial" w:hAnsi="Arial" w:cs="Arial"/>
          <w:sz w:val="24"/>
          <w:szCs w:val="24"/>
          <w:lang w:val="de-AT"/>
        </w:rPr>
        <w:t>„</w:t>
      </w:r>
      <w:r w:rsidR="0075001E" w:rsidRPr="00F21603">
        <w:rPr>
          <w:rFonts w:ascii="Arial" w:hAnsi="Arial" w:cs="Arial"/>
          <w:sz w:val="24"/>
          <w:szCs w:val="24"/>
          <w:lang w:val="de-AT"/>
        </w:rPr>
        <w:t>commensality</w:t>
      </w:r>
      <w:r w:rsidR="00242B50">
        <w:rPr>
          <w:rFonts w:ascii="Arial" w:hAnsi="Arial" w:cs="Arial"/>
          <w:sz w:val="24"/>
          <w:szCs w:val="24"/>
          <w:lang w:val="de-AT"/>
        </w:rPr>
        <w:t>“</w:t>
      </w:r>
      <w:r w:rsidR="0075001E" w:rsidRPr="00F21603">
        <w:rPr>
          <w:rFonts w:ascii="Arial" w:hAnsi="Arial" w:cs="Arial"/>
          <w:sz w:val="24"/>
          <w:szCs w:val="24"/>
          <w:lang w:val="de-AT"/>
        </w:rPr>
        <w:t xml:space="preserve">, </w:t>
      </w:r>
      <w:r w:rsidR="00252A61" w:rsidRPr="00F21603">
        <w:rPr>
          <w:rFonts w:ascii="Arial" w:hAnsi="Arial" w:cs="Arial"/>
          <w:sz w:val="24"/>
          <w:szCs w:val="24"/>
          <w:lang w:val="de-AT"/>
        </w:rPr>
        <w:t>behandelt konzeptuell</w:t>
      </w:r>
      <w:r w:rsidR="0075001E" w:rsidRPr="00F21603">
        <w:rPr>
          <w:rFonts w:ascii="Arial" w:hAnsi="Arial" w:cs="Arial"/>
          <w:sz w:val="24"/>
          <w:szCs w:val="24"/>
          <w:lang w:val="de-AT"/>
        </w:rPr>
        <w:t xml:space="preserve"> Menschen</w:t>
      </w:r>
      <w:r w:rsidRPr="00F21603">
        <w:rPr>
          <w:rFonts w:ascii="Arial" w:hAnsi="Arial" w:cs="Arial"/>
          <w:sz w:val="24"/>
          <w:szCs w:val="24"/>
          <w:lang w:val="de-AT"/>
        </w:rPr>
        <w:t>, die</w:t>
      </w:r>
      <w:r w:rsidR="0075001E" w:rsidRPr="00F21603">
        <w:rPr>
          <w:rFonts w:ascii="Arial" w:hAnsi="Arial" w:cs="Arial"/>
          <w:sz w:val="24"/>
          <w:szCs w:val="24"/>
          <w:lang w:val="de-AT"/>
        </w:rPr>
        <w:t xml:space="preserve"> in Gruppen essen</w:t>
      </w:r>
      <w:r w:rsidR="0012673A" w:rsidRPr="00F21603">
        <w:rPr>
          <w:rFonts w:ascii="Arial" w:hAnsi="Arial" w:cs="Arial"/>
          <w:sz w:val="24"/>
          <w:szCs w:val="24"/>
          <w:lang w:val="de-AT"/>
        </w:rPr>
        <w:t xml:space="preserve"> </w:t>
      </w:r>
      <w:r w:rsidR="0012673A" w:rsidRPr="00F21603">
        <w:rPr>
          <w:rFonts w:ascii="Arial" w:hAnsi="Arial" w:cs="Arial"/>
          <w:sz w:val="24"/>
          <w:szCs w:val="24"/>
          <w:lang w:val="de-AT"/>
        </w:rPr>
        <w:fldChar w:fldCharType="begin" w:fldLock="1"/>
      </w:r>
      <w:r w:rsidR="00F756A2" w:rsidRPr="00F21603">
        <w:rPr>
          <w:rFonts w:ascii="Arial" w:hAnsi="Arial" w:cs="Arial"/>
          <w:sz w:val="24"/>
          <w:szCs w:val="24"/>
          <w:lang w:val="de-AT"/>
        </w:rPr>
        <w:instrText>ADDIN CSL_CITATION {"citationItems":[{"id":"ITEM-1","itemData":{"author":[{"dropping-particle":"","family":"Fischler","given":"Claude","non-dropping-particle":"","parse-names":false,"suffix":""}],"container-title":"Social Science Information","id":"ITEM-1","issued":{"date-parts":[["1988"]]},"page":"275-293","title":"Food, Self and Identity","type":"article-journal","volume":"27"},"uris":["http://www.mendeley.com/documents/?uuid=c610ba4c-6b0d-4af4-b8f5-8c88f80b45fc"]}],"mendeley":{"formattedCitation":"(Fischler, 1988)","plainTextFormattedCitation":"(Fischler, 1988)","previouslyFormattedCitation":"(Fischler, 1988)"},"properties":{"noteIndex":0},"schema":"https://github.com/citation-style-language/schema/raw/master/csl-citation.json"}</w:instrText>
      </w:r>
      <w:r w:rsidR="0012673A" w:rsidRPr="00F21603">
        <w:rPr>
          <w:rFonts w:ascii="Arial" w:hAnsi="Arial" w:cs="Arial"/>
          <w:sz w:val="24"/>
          <w:szCs w:val="24"/>
          <w:lang w:val="de-AT"/>
        </w:rPr>
        <w:fldChar w:fldCharType="separate"/>
      </w:r>
      <w:r w:rsidR="0012673A" w:rsidRPr="00F21603">
        <w:rPr>
          <w:rFonts w:ascii="Arial" w:hAnsi="Arial" w:cs="Arial"/>
          <w:noProof/>
          <w:sz w:val="24"/>
          <w:szCs w:val="24"/>
          <w:lang w:val="de-AT"/>
        </w:rPr>
        <w:t>(Fischler, 1988)</w:t>
      </w:r>
      <w:r w:rsidR="0012673A" w:rsidRPr="00F21603">
        <w:rPr>
          <w:rFonts w:ascii="Arial" w:hAnsi="Arial" w:cs="Arial"/>
          <w:sz w:val="24"/>
          <w:szCs w:val="24"/>
          <w:lang w:val="de-AT"/>
        </w:rPr>
        <w:fldChar w:fldCharType="end"/>
      </w:r>
      <w:r w:rsidR="008C54FD" w:rsidRPr="00F21603">
        <w:rPr>
          <w:rFonts w:ascii="Arial" w:hAnsi="Arial" w:cs="Arial"/>
          <w:sz w:val="24"/>
          <w:szCs w:val="24"/>
          <w:lang w:val="de-AT"/>
        </w:rPr>
        <w:t xml:space="preserve">. </w:t>
      </w:r>
      <w:r w:rsidR="0075001E" w:rsidRPr="00F21603">
        <w:rPr>
          <w:rFonts w:ascii="Arial" w:hAnsi="Arial" w:cs="Arial"/>
          <w:sz w:val="24"/>
          <w:szCs w:val="24"/>
          <w:lang w:val="de-AT"/>
        </w:rPr>
        <w:t xml:space="preserve">Obwohl Essen ein </w:t>
      </w:r>
      <w:r w:rsidR="00F313B3" w:rsidRPr="00F21603">
        <w:rPr>
          <w:rFonts w:ascii="Arial" w:hAnsi="Arial" w:cs="Arial"/>
          <w:sz w:val="24"/>
          <w:szCs w:val="24"/>
          <w:lang w:val="de-AT"/>
        </w:rPr>
        <w:t>insti</w:t>
      </w:r>
      <w:r w:rsidR="00A77522" w:rsidRPr="00F21603">
        <w:rPr>
          <w:rFonts w:ascii="Arial" w:hAnsi="Arial" w:cs="Arial"/>
          <w:sz w:val="24"/>
          <w:szCs w:val="24"/>
          <w:lang w:val="de-AT"/>
        </w:rPr>
        <w:t>nktives</w:t>
      </w:r>
      <w:r w:rsidR="0075001E" w:rsidRPr="00F21603">
        <w:rPr>
          <w:rFonts w:ascii="Arial" w:hAnsi="Arial" w:cs="Arial"/>
          <w:sz w:val="24"/>
          <w:szCs w:val="24"/>
          <w:lang w:val="de-AT"/>
        </w:rPr>
        <w:t xml:space="preserve"> Verhalten ist, neigen Menschen zu</w:t>
      </w:r>
      <w:r w:rsidR="00E668C0" w:rsidRPr="00F21603">
        <w:rPr>
          <w:rFonts w:ascii="Arial" w:hAnsi="Arial" w:cs="Arial"/>
          <w:sz w:val="24"/>
          <w:szCs w:val="24"/>
          <w:lang w:val="de-AT"/>
        </w:rPr>
        <w:t xml:space="preserve"> </w:t>
      </w:r>
      <w:r w:rsidR="0075001E" w:rsidRPr="00F21603">
        <w:rPr>
          <w:rFonts w:ascii="Arial" w:hAnsi="Arial" w:cs="Arial"/>
          <w:sz w:val="24"/>
          <w:szCs w:val="24"/>
          <w:lang w:val="de-AT"/>
        </w:rPr>
        <w:t>verschiedene</w:t>
      </w:r>
      <w:r w:rsidR="00E668C0" w:rsidRPr="00F21603">
        <w:rPr>
          <w:rFonts w:ascii="Arial" w:hAnsi="Arial" w:cs="Arial"/>
          <w:sz w:val="24"/>
          <w:szCs w:val="24"/>
          <w:lang w:val="de-AT"/>
        </w:rPr>
        <w:t>n</w:t>
      </w:r>
      <w:r w:rsidR="0075001E" w:rsidRPr="00F21603">
        <w:rPr>
          <w:rFonts w:ascii="Arial" w:hAnsi="Arial" w:cs="Arial"/>
          <w:sz w:val="24"/>
          <w:szCs w:val="24"/>
          <w:lang w:val="de-AT"/>
        </w:rPr>
        <w:t xml:space="preserve"> soziale</w:t>
      </w:r>
      <w:r w:rsidR="00E668C0" w:rsidRPr="00F21603">
        <w:rPr>
          <w:rFonts w:ascii="Arial" w:hAnsi="Arial" w:cs="Arial"/>
          <w:sz w:val="24"/>
          <w:szCs w:val="24"/>
          <w:lang w:val="de-AT"/>
        </w:rPr>
        <w:t>n</w:t>
      </w:r>
      <w:r w:rsidR="0075001E" w:rsidRPr="00F21603">
        <w:rPr>
          <w:rFonts w:ascii="Arial" w:hAnsi="Arial" w:cs="Arial"/>
          <w:sz w:val="24"/>
          <w:szCs w:val="24"/>
          <w:lang w:val="de-AT"/>
        </w:rPr>
        <w:t xml:space="preserve"> Ess</w:t>
      </w:r>
      <w:r w:rsidR="00E668C0" w:rsidRPr="00F21603">
        <w:rPr>
          <w:rFonts w:ascii="Arial" w:hAnsi="Arial" w:cs="Arial"/>
          <w:sz w:val="24"/>
          <w:szCs w:val="24"/>
          <w:lang w:val="de-AT"/>
        </w:rPr>
        <w:t>ens</w:t>
      </w:r>
      <w:r w:rsidR="0075001E" w:rsidRPr="00F21603">
        <w:rPr>
          <w:rFonts w:ascii="Arial" w:hAnsi="Arial" w:cs="Arial"/>
          <w:sz w:val="24"/>
          <w:szCs w:val="24"/>
          <w:lang w:val="de-AT"/>
        </w:rPr>
        <w:t>muster</w:t>
      </w:r>
      <w:r w:rsidR="00E668C0" w:rsidRPr="00F21603">
        <w:rPr>
          <w:rFonts w:ascii="Arial" w:hAnsi="Arial" w:cs="Arial"/>
          <w:sz w:val="24"/>
          <w:szCs w:val="24"/>
          <w:lang w:val="de-AT"/>
        </w:rPr>
        <w:t>n</w:t>
      </w:r>
      <w:r w:rsidR="0075001E" w:rsidRPr="00F21603">
        <w:rPr>
          <w:rFonts w:ascii="Arial" w:hAnsi="Arial" w:cs="Arial"/>
          <w:sz w:val="24"/>
          <w:szCs w:val="24"/>
          <w:lang w:val="de-AT"/>
        </w:rPr>
        <w:t>, die</w:t>
      </w:r>
      <w:r w:rsidR="00D80C3E" w:rsidRPr="00F21603">
        <w:rPr>
          <w:rFonts w:ascii="Arial" w:hAnsi="Arial" w:cs="Arial"/>
          <w:sz w:val="24"/>
          <w:szCs w:val="24"/>
          <w:lang w:val="de-AT"/>
        </w:rPr>
        <w:t xml:space="preserve"> </w:t>
      </w:r>
      <w:r w:rsidR="0075001E" w:rsidRPr="00F21603">
        <w:rPr>
          <w:rFonts w:ascii="Arial" w:hAnsi="Arial" w:cs="Arial"/>
          <w:sz w:val="24"/>
          <w:szCs w:val="24"/>
          <w:lang w:val="de-AT"/>
        </w:rPr>
        <w:t xml:space="preserve">in </w:t>
      </w:r>
      <w:r w:rsidR="007E4167" w:rsidRPr="00F21603">
        <w:rPr>
          <w:rFonts w:ascii="Arial" w:hAnsi="Arial" w:cs="Arial"/>
          <w:sz w:val="24"/>
          <w:szCs w:val="24"/>
          <w:lang w:val="de-AT"/>
        </w:rPr>
        <w:t>unterschiedliche</w:t>
      </w:r>
      <w:r w:rsidR="0075001E" w:rsidRPr="00F21603">
        <w:rPr>
          <w:rFonts w:ascii="Arial" w:hAnsi="Arial" w:cs="Arial"/>
          <w:sz w:val="24"/>
          <w:szCs w:val="24"/>
          <w:lang w:val="de-AT"/>
        </w:rPr>
        <w:t xml:space="preserve">n Kulturen und Umgebungen variieren. </w:t>
      </w:r>
      <w:r w:rsidR="00734C81" w:rsidRPr="00F21603">
        <w:rPr>
          <w:rFonts w:ascii="Arial" w:hAnsi="Arial" w:cs="Arial"/>
          <w:sz w:val="24"/>
          <w:szCs w:val="24"/>
          <w:lang w:val="de-AT"/>
        </w:rPr>
        <w:t>S</w:t>
      </w:r>
      <w:r w:rsidR="0075001E" w:rsidRPr="00F21603">
        <w:rPr>
          <w:rFonts w:ascii="Arial" w:hAnsi="Arial" w:cs="Arial"/>
          <w:sz w:val="24"/>
          <w:szCs w:val="24"/>
          <w:lang w:val="de-AT"/>
        </w:rPr>
        <w:t>oziale Gruppe</w:t>
      </w:r>
      <w:r w:rsidR="00734C81" w:rsidRPr="00F21603">
        <w:rPr>
          <w:rFonts w:ascii="Arial" w:hAnsi="Arial" w:cs="Arial"/>
          <w:sz w:val="24"/>
          <w:szCs w:val="24"/>
          <w:lang w:val="de-AT"/>
        </w:rPr>
        <w:t>n</w:t>
      </w:r>
      <w:r w:rsidR="0075001E" w:rsidRPr="00F21603">
        <w:rPr>
          <w:rFonts w:ascii="Arial" w:hAnsi="Arial" w:cs="Arial"/>
          <w:b/>
          <w:bCs/>
          <w:sz w:val="24"/>
          <w:szCs w:val="24"/>
          <w:lang w:val="de-AT"/>
        </w:rPr>
        <w:t xml:space="preserve"> </w:t>
      </w:r>
      <w:r w:rsidR="0075001E" w:rsidRPr="00F21603">
        <w:rPr>
          <w:rFonts w:ascii="Arial" w:hAnsi="Arial" w:cs="Arial"/>
          <w:sz w:val="24"/>
          <w:szCs w:val="24"/>
          <w:lang w:val="de-AT"/>
        </w:rPr>
        <w:t>besteh</w:t>
      </w:r>
      <w:r w:rsidR="00072A59" w:rsidRPr="00F21603">
        <w:rPr>
          <w:rFonts w:ascii="Arial" w:hAnsi="Arial" w:cs="Arial"/>
          <w:sz w:val="24"/>
          <w:szCs w:val="24"/>
          <w:lang w:val="de-AT"/>
        </w:rPr>
        <w:t>en</w:t>
      </w:r>
      <w:r w:rsidR="0075001E" w:rsidRPr="00F21603">
        <w:rPr>
          <w:rFonts w:ascii="Arial" w:hAnsi="Arial" w:cs="Arial"/>
          <w:sz w:val="24"/>
          <w:szCs w:val="24"/>
          <w:lang w:val="de-AT"/>
        </w:rPr>
        <w:t xml:space="preserve"> </w:t>
      </w:r>
      <w:r w:rsidR="00787100" w:rsidRPr="00F21603">
        <w:rPr>
          <w:rFonts w:ascii="Arial" w:hAnsi="Arial" w:cs="Arial"/>
          <w:sz w:val="24"/>
          <w:szCs w:val="24"/>
          <w:lang w:val="de-AT"/>
        </w:rPr>
        <w:t>u.a. aus</w:t>
      </w:r>
      <w:r w:rsidR="0075001E" w:rsidRPr="00F21603">
        <w:rPr>
          <w:rFonts w:ascii="Arial" w:hAnsi="Arial" w:cs="Arial"/>
          <w:sz w:val="24"/>
          <w:szCs w:val="24"/>
          <w:lang w:val="de-AT"/>
        </w:rPr>
        <w:t xml:space="preserve"> Ehepartner, </w:t>
      </w:r>
      <w:r w:rsidR="00392146" w:rsidRPr="00F21603">
        <w:rPr>
          <w:rFonts w:ascii="Arial" w:hAnsi="Arial" w:cs="Arial"/>
          <w:sz w:val="24"/>
          <w:szCs w:val="24"/>
          <w:lang w:val="de-AT"/>
        </w:rPr>
        <w:t>Lebensp</w:t>
      </w:r>
      <w:r w:rsidR="0075001E" w:rsidRPr="00F21603">
        <w:rPr>
          <w:rFonts w:ascii="Arial" w:hAnsi="Arial" w:cs="Arial"/>
          <w:sz w:val="24"/>
          <w:szCs w:val="24"/>
          <w:lang w:val="de-AT"/>
        </w:rPr>
        <w:t>artner, Freund</w:t>
      </w:r>
      <w:r w:rsidR="00E76C28" w:rsidRPr="00F21603">
        <w:rPr>
          <w:rFonts w:ascii="Arial" w:hAnsi="Arial" w:cs="Arial"/>
          <w:sz w:val="24"/>
          <w:szCs w:val="24"/>
          <w:lang w:val="de-AT"/>
        </w:rPr>
        <w:t>e</w:t>
      </w:r>
      <w:r w:rsidR="0075001E" w:rsidRPr="00F21603">
        <w:rPr>
          <w:rFonts w:ascii="Arial" w:hAnsi="Arial" w:cs="Arial"/>
          <w:sz w:val="24"/>
          <w:szCs w:val="24"/>
          <w:lang w:val="de-AT"/>
        </w:rPr>
        <w:t>, Familienmitglied</w:t>
      </w:r>
      <w:r w:rsidR="00E76C28" w:rsidRPr="00F21603">
        <w:rPr>
          <w:rFonts w:ascii="Arial" w:hAnsi="Arial" w:cs="Arial"/>
          <w:sz w:val="24"/>
          <w:szCs w:val="24"/>
          <w:lang w:val="de-AT"/>
        </w:rPr>
        <w:t>er</w:t>
      </w:r>
      <w:r w:rsidR="0075001E" w:rsidRPr="00F21603">
        <w:rPr>
          <w:rFonts w:ascii="Arial" w:hAnsi="Arial" w:cs="Arial"/>
          <w:sz w:val="24"/>
          <w:szCs w:val="24"/>
          <w:lang w:val="de-AT"/>
        </w:rPr>
        <w:t xml:space="preserve">, Kollegen oder </w:t>
      </w:r>
      <w:r w:rsidR="0075001E" w:rsidRPr="00F21603">
        <w:rPr>
          <w:rFonts w:ascii="Arial" w:hAnsi="Arial" w:cs="Arial"/>
          <w:sz w:val="24"/>
          <w:szCs w:val="24"/>
          <w:lang w:val="de-AT"/>
        </w:rPr>
        <w:lastRenderedPageBreak/>
        <w:t>Klassenkameraden</w:t>
      </w:r>
      <w:r w:rsidR="00F756A2" w:rsidRPr="00F21603">
        <w:rPr>
          <w:rFonts w:ascii="Arial" w:hAnsi="Arial" w:cs="Arial"/>
          <w:sz w:val="24"/>
          <w:szCs w:val="24"/>
          <w:lang w:val="de-AT"/>
        </w:rPr>
        <w:t xml:space="preserve"> </w:t>
      </w:r>
      <w:r w:rsidR="00F756A2" w:rsidRPr="00F21603">
        <w:rPr>
          <w:rFonts w:ascii="Arial" w:hAnsi="Arial" w:cs="Arial"/>
          <w:sz w:val="24"/>
          <w:szCs w:val="24"/>
          <w:lang w:val="de-AT"/>
        </w:rPr>
        <w:fldChar w:fldCharType="begin" w:fldLock="1"/>
      </w:r>
      <w:r w:rsidR="00F848EF" w:rsidRPr="00F21603">
        <w:rPr>
          <w:rFonts w:ascii="Arial" w:hAnsi="Arial" w:cs="Arial"/>
          <w:sz w:val="24"/>
          <w:szCs w:val="24"/>
          <w:lang w:val="de-AT"/>
        </w:rPr>
        <w:instrText>ADDIN CSL_CITATION {"citationItems":[{"id":"ITEM-1","itemData":{"DOI":"10.1079/bjn19970103","ISSN":"0007-1145","abstract":"Total energy intake and the frequency and size of meals are profoundly influenced by the socio-cultural context in which it occurs. Simply eating with one other person increases the average amount ingested in meals by 44% and with more people present the average meal size grows even larger. The impact of social facilitation of energy intake on the individual appears to result from genetic effects both on the individuals' sensitivity to the presence of other people and also on the number of other people an individual tends to eat with. Culture markedly affects the choice of foods in the diet and the pattern of meals over the day. However, many of the social, psychological and physical variables that influence intake are similar across cultures.","author":[{"dropping-particle":"","family":"Castro","given":"John M.","non-dropping-particle":"De","parse-names":false,"suffix":""}],"container-title":"British Journal of Nutrition","id":"ITEM-1","issue":"S1","issued":{"date-parts":[["1997"]]},"page":"S39-S55","title":"Socio-cultural determinants of meal size and frequency","type":"article-journal","volume":"77"},"uris":["http://www.mendeley.com/documents/?uuid=b22983f5-43e3-424c-89bb-ddd09687600d"]}],"mendeley":{"formattedCitation":"(De Castro, 1997)","plainTextFormattedCitation":"(De Castro, 1997)","previouslyFormattedCitation":"(De Castro, 1997)"},"properties":{"noteIndex":0},"schema":"https://github.com/citation-style-language/schema/raw/master/csl-citation.json"}</w:instrText>
      </w:r>
      <w:r w:rsidR="00F756A2" w:rsidRPr="00F21603">
        <w:rPr>
          <w:rFonts w:ascii="Arial" w:hAnsi="Arial" w:cs="Arial"/>
          <w:sz w:val="24"/>
          <w:szCs w:val="24"/>
          <w:lang w:val="de-AT"/>
        </w:rPr>
        <w:fldChar w:fldCharType="separate"/>
      </w:r>
      <w:r w:rsidR="00F756A2" w:rsidRPr="00F21603">
        <w:rPr>
          <w:rFonts w:ascii="Arial" w:hAnsi="Arial" w:cs="Arial"/>
          <w:noProof/>
          <w:sz w:val="24"/>
          <w:szCs w:val="24"/>
          <w:lang w:val="de-AT"/>
        </w:rPr>
        <w:t>(De Castro, 1997)</w:t>
      </w:r>
      <w:r w:rsidR="00F756A2" w:rsidRPr="00F21603">
        <w:rPr>
          <w:rFonts w:ascii="Arial" w:hAnsi="Arial" w:cs="Arial"/>
          <w:sz w:val="24"/>
          <w:szCs w:val="24"/>
          <w:lang w:val="de-AT"/>
        </w:rPr>
        <w:fldChar w:fldCharType="end"/>
      </w:r>
      <w:r w:rsidR="0050209A" w:rsidRPr="00F21603">
        <w:rPr>
          <w:rFonts w:ascii="Arial" w:hAnsi="Arial" w:cs="Arial"/>
          <w:sz w:val="24"/>
          <w:szCs w:val="24"/>
          <w:lang w:val="de-AT"/>
        </w:rPr>
        <w:t>.</w:t>
      </w:r>
      <w:r w:rsidR="0075001E" w:rsidRPr="00F21603">
        <w:rPr>
          <w:rFonts w:ascii="Arial" w:hAnsi="Arial" w:cs="Arial"/>
          <w:sz w:val="24"/>
          <w:szCs w:val="24"/>
          <w:lang w:val="de-AT"/>
        </w:rPr>
        <w:t xml:space="preserve"> D</w:t>
      </w:r>
      <w:r w:rsidR="0050209A" w:rsidRPr="00F21603">
        <w:rPr>
          <w:rFonts w:ascii="Arial" w:hAnsi="Arial" w:cs="Arial"/>
          <w:sz w:val="24"/>
          <w:szCs w:val="24"/>
          <w:lang w:val="de-AT"/>
        </w:rPr>
        <w:t>ie</w:t>
      </w:r>
      <w:r w:rsidR="0075001E" w:rsidRPr="00F21603">
        <w:rPr>
          <w:rFonts w:ascii="Arial" w:hAnsi="Arial" w:cs="Arial"/>
          <w:sz w:val="24"/>
          <w:szCs w:val="24"/>
          <w:lang w:val="de-AT"/>
        </w:rPr>
        <w:t xml:space="preserve">s hat zur Folge, dass Essen </w:t>
      </w:r>
      <w:r w:rsidR="00E61946" w:rsidRPr="00F21603">
        <w:rPr>
          <w:rFonts w:ascii="Arial" w:hAnsi="Arial" w:cs="Arial"/>
          <w:sz w:val="24"/>
          <w:szCs w:val="24"/>
          <w:lang w:val="de-AT"/>
        </w:rPr>
        <w:t xml:space="preserve">nicht </w:t>
      </w:r>
      <w:r w:rsidR="0075001E" w:rsidRPr="00F21603">
        <w:rPr>
          <w:rFonts w:ascii="Arial" w:hAnsi="Arial" w:cs="Arial"/>
          <w:sz w:val="24"/>
          <w:szCs w:val="24"/>
          <w:lang w:val="de-AT"/>
        </w:rPr>
        <w:t xml:space="preserve">nur </w:t>
      </w:r>
      <w:r w:rsidR="00AA46FE" w:rsidRPr="00F21603">
        <w:rPr>
          <w:rFonts w:ascii="Arial" w:hAnsi="Arial" w:cs="Arial"/>
          <w:sz w:val="24"/>
          <w:szCs w:val="24"/>
          <w:lang w:val="de-AT"/>
        </w:rPr>
        <w:t xml:space="preserve">zur </w:t>
      </w:r>
      <w:r w:rsidR="0075001E" w:rsidRPr="00F21603">
        <w:rPr>
          <w:rFonts w:ascii="Arial" w:hAnsi="Arial" w:cs="Arial"/>
          <w:sz w:val="24"/>
          <w:szCs w:val="24"/>
          <w:lang w:val="de-AT"/>
        </w:rPr>
        <w:t>Nahrungsaufnahme</w:t>
      </w:r>
      <w:r w:rsidR="00AA46FE" w:rsidRPr="00F21603">
        <w:rPr>
          <w:rFonts w:ascii="Arial" w:hAnsi="Arial" w:cs="Arial"/>
          <w:sz w:val="24"/>
          <w:szCs w:val="24"/>
          <w:lang w:val="de-AT"/>
        </w:rPr>
        <w:t xml:space="preserve"> dient</w:t>
      </w:r>
      <w:r w:rsidR="0075001E" w:rsidRPr="00F21603">
        <w:rPr>
          <w:rFonts w:ascii="Arial" w:hAnsi="Arial" w:cs="Arial"/>
          <w:sz w:val="24"/>
          <w:szCs w:val="24"/>
          <w:lang w:val="de-AT"/>
        </w:rPr>
        <w:t>, sondern auch</w:t>
      </w:r>
      <w:r w:rsidR="00AC1590" w:rsidRPr="00F21603">
        <w:rPr>
          <w:rFonts w:ascii="Arial" w:hAnsi="Arial" w:cs="Arial"/>
          <w:sz w:val="24"/>
          <w:szCs w:val="24"/>
          <w:lang w:val="de-AT"/>
        </w:rPr>
        <w:t xml:space="preserve"> ein </w:t>
      </w:r>
      <w:r w:rsidR="0075001E" w:rsidRPr="00F21603">
        <w:rPr>
          <w:rFonts w:ascii="Arial" w:hAnsi="Arial" w:cs="Arial"/>
          <w:sz w:val="24"/>
          <w:szCs w:val="24"/>
          <w:lang w:val="de-AT"/>
        </w:rPr>
        <w:t>sozialer Akt</w:t>
      </w:r>
      <w:r w:rsidR="00AA46FE" w:rsidRPr="00F21603">
        <w:rPr>
          <w:rFonts w:ascii="Arial" w:hAnsi="Arial" w:cs="Arial"/>
          <w:sz w:val="24"/>
          <w:szCs w:val="24"/>
          <w:lang w:val="de-AT"/>
        </w:rPr>
        <w:t xml:space="preserve"> ist</w:t>
      </w:r>
      <w:r w:rsidR="0075001E" w:rsidRPr="00F21603">
        <w:rPr>
          <w:rFonts w:ascii="Arial" w:hAnsi="Arial" w:cs="Arial"/>
          <w:sz w:val="24"/>
          <w:szCs w:val="24"/>
          <w:lang w:val="de-AT"/>
        </w:rPr>
        <w:t>, der</w:t>
      </w:r>
      <w:r w:rsidR="00620655" w:rsidRPr="00F21603">
        <w:rPr>
          <w:rFonts w:ascii="Arial" w:hAnsi="Arial" w:cs="Arial"/>
          <w:sz w:val="24"/>
          <w:szCs w:val="24"/>
          <w:lang w:val="de-AT"/>
        </w:rPr>
        <w:t xml:space="preserve"> </w:t>
      </w:r>
      <w:r w:rsidR="00E927C5" w:rsidRPr="00F21603">
        <w:rPr>
          <w:rFonts w:ascii="Arial" w:hAnsi="Arial" w:cs="Arial"/>
          <w:sz w:val="24"/>
          <w:szCs w:val="24"/>
          <w:lang w:val="de-AT"/>
        </w:rPr>
        <w:t>Menschen</w:t>
      </w:r>
      <w:r w:rsidR="000B3BB0" w:rsidRPr="00F21603">
        <w:rPr>
          <w:rFonts w:ascii="Arial" w:hAnsi="Arial" w:cs="Arial"/>
          <w:sz w:val="24"/>
          <w:szCs w:val="24"/>
          <w:lang w:val="de-AT"/>
        </w:rPr>
        <w:t xml:space="preserve"> bei I</w:t>
      </w:r>
      <w:r w:rsidR="0075001E" w:rsidRPr="00F21603">
        <w:rPr>
          <w:rFonts w:ascii="Arial" w:hAnsi="Arial" w:cs="Arial"/>
          <w:sz w:val="24"/>
          <w:szCs w:val="24"/>
          <w:lang w:val="de-AT"/>
        </w:rPr>
        <w:t>nter</w:t>
      </w:r>
      <w:r w:rsidR="000B3BB0" w:rsidRPr="00F21603">
        <w:rPr>
          <w:rFonts w:ascii="Arial" w:hAnsi="Arial" w:cs="Arial"/>
          <w:sz w:val="24"/>
          <w:szCs w:val="24"/>
          <w:lang w:val="de-AT"/>
        </w:rPr>
        <w:t>aktionen</w:t>
      </w:r>
      <w:r w:rsidR="0075001E" w:rsidRPr="00F21603">
        <w:rPr>
          <w:rFonts w:ascii="Arial" w:hAnsi="Arial" w:cs="Arial"/>
          <w:sz w:val="24"/>
          <w:szCs w:val="24"/>
          <w:lang w:val="de-AT"/>
        </w:rPr>
        <w:t>,</w:t>
      </w:r>
      <w:r w:rsidR="000B3BB0" w:rsidRPr="00F21603">
        <w:rPr>
          <w:rFonts w:ascii="Arial" w:hAnsi="Arial" w:cs="Arial"/>
          <w:sz w:val="24"/>
          <w:szCs w:val="24"/>
          <w:lang w:val="de-AT"/>
        </w:rPr>
        <w:t xml:space="preserve"> Informationsaustausch </w:t>
      </w:r>
      <w:r w:rsidR="0075001E" w:rsidRPr="00F21603">
        <w:rPr>
          <w:rFonts w:ascii="Arial" w:hAnsi="Arial" w:cs="Arial"/>
          <w:sz w:val="24"/>
          <w:szCs w:val="24"/>
          <w:lang w:val="de-AT"/>
        </w:rPr>
        <w:t>und Beziehun</w:t>
      </w:r>
      <w:r w:rsidR="000B3BB0" w:rsidRPr="00F21603">
        <w:rPr>
          <w:rFonts w:ascii="Arial" w:hAnsi="Arial" w:cs="Arial"/>
          <w:sz w:val="24"/>
          <w:szCs w:val="24"/>
          <w:lang w:val="de-AT"/>
        </w:rPr>
        <w:t>gsaufbau</w:t>
      </w:r>
      <w:r w:rsidR="0075001E" w:rsidRPr="00F21603">
        <w:rPr>
          <w:rFonts w:ascii="Arial" w:hAnsi="Arial" w:cs="Arial"/>
          <w:sz w:val="24"/>
          <w:szCs w:val="24"/>
          <w:lang w:val="de-AT"/>
        </w:rPr>
        <w:t xml:space="preserve"> </w:t>
      </w:r>
      <w:r w:rsidR="000B3BB0" w:rsidRPr="00F21603">
        <w:rPr>
          <w:rFonts w:ascii="Arial" w:hAnsi="Arial" w:cs="Arial"/>
          <w:sz w:val="24"/>
          <w:szCs w:val="24"/>
          <w:lang w:val="de-AT"/>
        </w:rPr>
        <w:t>unterstützt</w:t>
      </w:r>
      <w:r w:rsidR="00FE73F3" w:rsidRPr="00F21603">
        <w:rPr>
          <w:rFonts w:ascii="Arial" w:hAnsi="Arial" w:cs="Arial"/>
          <w:sz w:val="24"/>
          <w:szCs w:val="24"/>
          <w:lang w:val="de-AT"/>
        </w:rPr>
        <w:t xml:space="preserve"> </w:t>
      </w:r>
      <w:r w:rsidR="00F848EF" w:rsidRPr="00F21603">
        <w:rPr>
          <w:rFonts w:ascii="Arial" w:hAnsi="Arial" w:cs="Arial"/>
          <w:sz w:val="24"/>
          <w:szCs w:val="24"/>
          <w:lang w:val="de-AT"/>
        </w:rPr>
        <w:fldChar w:fldCharType="begin" w:fldLock="1"/>
      </w:r>
      <w:r w:rsidR="00873571" w:rsidRPr="00F21603">
        <w:rPr>
          <w:rFonts w:ascii="Arial" w:hAnsi="Arial" w:cs="Arial"/>
          <w:sz w:val="24"/>
          <w:szCs w:val="24"/>
          <w:lang w:val="de-AT"/>
        </w:rPr>
        <w:instrText>ADDIN CSL_CITATION {"citationItems":[{"id":"ITEM-1","itemData":{"DOI":"10.1177/0539018411413963","ISSN":"05390184","abstract":"The founding fathers of the social sciences recognized commensality as a major issue but considered it mostly in a religious, sacrificial, ritualistic context. The notion of commensality is examined in its various dimensions and operations. Empirical data are used to examine cultural variability in attitudes about food, commensality and its correlates among countries usually categorized as 'Western' and 'modern'. Clear-cut differences are identified, hinting at possible relationships between, on the one hand, cultural attachment to commensality and, on the other hand, a lower prevalence of obesity and associated health problems involving nutrition. © The Author(s) 2011.","author":[{"dropping-particle":"","family":"Fischler","given":"Claude","non-dropping-particle":"","parse-names":false,"suffix":""}],"container-title":"Social Science Information","id":"ITEM-1","issue":"3-4","issued":{"date-parts":[["2011"]]},"page":"528-548","title":"Commensality, society and culture","type":"article-journal","volume":"50"},"uris":["http://www.mendeley.com/documents/?uuid=38bfa86f-5bf1-42bf-99ce-c2017ed91a66"]}],"mendeley":{"formattedCitation":"(Fischler, 2011)","plainTextFormattedCitation":"(Fischler, 2011)","previouslyFormattedCitation":"(Fischler, 2011)"},"properties":{"noteIndex":0},"schema":"https://github.com/citation-style-language/schema/raw/master/csl-citation.json"}</w:instrText>
      </w:r>
      <w:r w:rsidR="00F848EF" w:rsidRPr="00F21603">
        <w:rPr>
          <w:rFonts w:ascii="Arial" w:hAnsi="Arial" w:cs="Arial"/>
          <w:sz w:val="24"/>
          <w:szCs w:val="24"/>
          <w:lang w:val="de-AT"/>
        </w:rPr>
        <w:fldChar w:fldCharType="separate"/>
      </w:r>
      <w:r w:rsidR="00F848EF" w:rsidRPr="00F21603">
        <w:rPr>
          <w:rFonts w:ascii="Arial" w:hAnsi="Arial" w:cs="Arial"/>
          <w:noProof/>
          <w:sz w:val="24"/>
          <w:szCs w:val="24"/>
          <w:lang w:val="de-AT"/>
        </w:rPr>
        <w:t>(Fischler, 2011)</w:t>
      </w:r>
      <w:r w:rsidR="00F848EF" w:rsidRPr="00F21603">
        <w:rPr>
          <w:rFonts w:ascii="Arial" w:hAnsi="Arial" w:cs="Arial"/>
          <w:sz w:val="24"/>
          <w:szCs w:val="24"/>
          <w:lang w:val="de-AT"/>
        </w:rPr>
        <w:fldChar w:fldCharType="end"/>
      </w:r>
      <w:r w:rsidR="00F848EF" w:rsidRPr="00F21603">
        <w:rPr>
          <w:rFonts w:ascii="Arial" w:hAnsi="Arial" w:cs="Arial"/>
          <w:sz w:val="24"/>
          <w:szCs w:val="24"/>
          <w:lang w:val="de-AT"/>
        </w:rPr>
        <w:t>.</w:t>
      </w:r>
    </w:p>
    <w:p w14:paraId="7E167AB7" w14:textId="71ACAD0B" w:rsidR="00F82F8B" w:rsidRPr="00F21603" w:rsidRDefault="00F82F8B" w:rsidP="00F21603">
      <w:pPr>
        <w:pStyle w:val="Kommentartext"/>
        <w:rPr>
          <w:rFonts w:ascii="Arial" w:hAnsi="Arial" w:cs="Arial"/>
          <w:b/>
          <w:bCs/>
          <w:sz w:val="24"/>
          <w:szCs w:val="24"/>
          <w:lang w:val="de-AT"/>
        </w:rPr>
      </w:pPr>
    </w:p>
    <w:p w14:paraId="5421FA65" w14:textId="78D6B427" w:rsidR="0077500B" w:rsidRPr="00F21603" w:rsidRDefault="0077500B" w:rsidP="00F21603">
      <w:pPr>
        <w:pStyle w:val="Kommentartext"/>
        <w:rPr>
          <w:rFonts w:ascii="Arial" w:hAnsi="Arial" w:cs="Arial"/>
          <w:b/>
          <w:bCs/>
          <w:sz w:val="24"/>
          <w:szCs w:val="24"/>
          <w:lang w:val="de-AT"/>
        </w:rPr>
      </w:pPr>
      <w:r w:rsidRPr="00F21603">
        <w:rPr>
          <w:rFonts w:ascii="Arial" w:hAnsi="Arial" w:cs="Arial"/>
          <w:b/>
          <w:bCs/>
          <w:sz w:val="24"/>
          <w:szCs w:val="24"/>
          <w:lang w:val="de-AT"/>
        </w:rPr>
        <w:t>Globale Unterschiede</w:t>
      </w:r>
      <w:r w:rsidR="002E6363" w:rsidRPr="00F21603">
        <w:rPr>
          <w:rFonts w:ascii="Arial" w:hAnsi="Arial" w:cs="Arial"/>
          <w:b/>
          <w:bCs/>
          <w:sz w:val="24"/>
          <w:szCs w:val="24"/>
          <w:lang w:val="de-AT"/>
        </w:rPr>
        <w:t xml:space="preserve"> zwischen </w:t>
      </w:r>
      <w:r w:rsidR="0016512B" w:rsidRPr="00F21603">
        <w:rPr>
          <w:rFonts w:ascii="Arial" w:hAnsi="Arial" w:cs="Arial"/>
          <w:b/>
          <w:bCs/>
          <w:sz w:val="24"/>
          <w:szCs w:val="24"/>
          <w:lang w:val="de-AT"/>
        </w:rPr>
        <w:t xml:space="preserve">den </w:t>
      </w:r>
      <w:r w:rsidR="002B3A29" w:rsidRPr="00F21603">
        <w:rPr>
          <w:rFonts w:ascii="Arial" w:hAnsi="Arial" w:cs="Arial"/>
          <w:b/>
          <w:bCs/>
          <w:sz w:val="24"/>
          <w:szCs w:val="24"/>
          <w:lang w:val="de-AT"/>
        </w:rPr>
        <w:t>Vereinigten</w:t>
      </w:r>
      <w:r w:rsidR="0016512B" w:rsidRPr="00F21603">
        <w:rPr>
          <w:rFonts w:ascii="Arial" w:hAnsi="Arial" w:cs="Arial"/>
          <w:b/>
          <w:bCs/>
          <w:sz w:val="24"/>
          <w:szCs w:val="24"/>
          <w:lang w:val="de-AT"/>
        </w:rPr>
        <w:t xml:space="preserve"> Staaten </w:t>
      </w:r>
      <w:r w:rsidR="002E6363" w:rsidRPr="00F21603">
        <w:rPr>
          <w:rFonts w:ascii="Arial" w:hAnsi="Arial" w:cs="Arial"/>
          <w:b/>
          <w:bCs/>
          <w:sz w:val="24"/>
          <w:szCs w:val="24"/>
          <w:lang w:val="de-AT"/>
        </w:rPr>
        <w:t>und Europa</w:t>
      </w:r>
    </w:p>
    <w:p w14:paraId="756110CB" w14:textId="399E745E" w:rsidR="008F49CE" w:rsidRPr="00F21603" w:rsidRDefault="00B862F8" w:rsidP="00F21603">
      <w:pPr>
        <w:spacing w:after="120"/>
        <w:jc w:val="both"/>
        <w:rPr>
          <w:rFonts w:ascii="Arial" w:hAnsi="Arial" w:cs="Arial"/>
        </w:rPr>
      </w:pPr>
      <w:r w:rsidRPr="00F21603">
        <w:rPr>
          <w:rFonts w:ascii="Arial" w:hAnsi="Arial" w:cs="Arial"/>
        </w:rPr>
        <w:t>Europäer*innen</w:t>
      </w:r>
      <w:r w:rsidR="0077500B" w:rsidRPr="00F21603">
        <w:rPr>
          <w:rFonts w:ascii="Arial" w:hAnsi="Arial" w:cs="Arial"/>
        </w:rPr>
        <w:t xml:space="preserve"> glauben, dass eine gesunde Ernährung abwechslungsreich und ausgewogen </w:t>
      </w:r>
      <w:r w:rsidR="003826C4" w:rsidRPr="00F21603">
        <w:rPr>
          <w:rFonts w:ascii="Arial" w:hAnsi="Arial" w:cs="Arial"/>
        </w:rPr>
        <w:t>sein muss und</w:t>
      </w:r>
      <w:r w:rsidR="0077500B" w:rsidRPr="00F21603">
        <w:rPr>
          <w:rFonts w:ascii="Arial" w:hAnsi="Arial" w:cs="Arial"/>
        </w:rPr>
        <w:t xml:space="preserve"> aus frischen, schmackhaften </w:t>
      </w:r>
      <w:r w:rsidR="003826C4" w:rsidRPr="00F21603">
        <w:rPr>
          <w:rFonts w:ascii="Arial" w:hAnsi="Arial" w:cs="Arial"/>
        </w:rPr>
        <w:t>sowie</w:t>
      </w:r>
      <w:r w:rsidR="0077500B" w:rsidRPr="00F21603">
        <w:rPr>
          <w:rFonts w:ascii="Arial" w:hAnsi="Arial" w:cs="Arial"/>
        </w:rPr>
        <w:t xml:space="preserve"> natürlichen Lebensmitteln besteh</w:t>
      </w:r>
      <w:r w:rsidR="003826C4" w:rsidRPr="00F21603">
        <w:rPr>
          <w:rFonts w:ascii="Arial" w:hAnsi="Arial" w:cs="Arial"/>
        </w:rPr>
        <w:t>en soll</w:t>
      </w:r>
      <w:r w:rsidR="0077500B" w:rsidRPr="00F21603">
        <w:rPr>
          <w:rFonts w:ascii="Arial" w:hAnsi="Arial" w:cs="Arial"/>
        </w:rPr>
        <w:t xml:space="preserve">. Sie sind </w:t>
      </w:r>
      <w:r w:rsidR="00005DC4">
        <w:rPr>
          <w:rFonts w:ascii="Arial" w:hAnsi="Arial" w:cs="Arial"/>
        </w:rPr>
        <w:t>„</w:t>
      </w:r>
      <w:r w:rsidR="0077500B" w:rsidRPr="00F21603">
        <w:rPr>
          <w:rFonts w:ascii="Arial" w:hAnsi="Arial" w:cs="Arial"/>
        </w:rPr>
        <w:t>Pragmatiker</w:t>
      </w:r>
      <w:r w:rsidR="00005DC4">
        <w:rPr>
          <w:rFonts w:ascii="Arial" w:hAnsi="Arial" w:cs="Arial"/>
        </w:rPr>
        <w:t>“</w:t>
      </w:r>
      <w:r w:rsidR="0077500B" w:rsidRPr="00F21603">
        <w:rPr>
          <w:rFonts w:ascii="Arial" w:hAnsi="Arial" w:cs="Arial"/>
        </w:rPr>
        <w:t>,</w:t>
      </w:r>
      <w:r w:rsidR="009B74A3" w:rsidRPr="00F21603">
        <w:rPr>
          <w:rFonts w:ascii="Arial" w:hAnsi="Arial" w:cs="Arial"/>
        </w:rPr>
        <w:t xml:space="preserve"> indem sie</w:t>
      </w:r>
      <w:r w:rsidR="0077500B" w:rsidRPr="00F21603">
        <w:rPr>
          <w:rFonts w:ascii="Arial" w:hAnsi="Arial" w:cs="Arial"/>
        </w:rPr>
        <w:t xml:space="preserve"> </w:t>
      </w:r>
      <w:r w:rsidR="00E02A6D" w:rsidRPr="00F21603">
        <w:rPr>
          <w:rFonts w:ascii="Arial" w:hAnsi="Arial" w:cs="Arial"/>
        </w:rPr>
        <w:t>beim</w:t>
      </w:r>
      <w:r w:rsidR="0077500B" w:rsidRPr="00F21603">
        <w:rPr>
          <w:rFonts w:ascii="Arial" w:hAnsi="Arial" w:cs="Arial"/>
        </w:rPr>
        <w:t xml:space="preserve"> Essen nicht nur die Ernährung, sondern auch die soziale Komponente, Freude, Geschmack, Frische, Erfahrung und Tradition berücksichtigen. Für sie ist Essen ein öffentliche</w:t>
      </w:r>
      <w:r w:rsidR="003826C4" w:rsidRPr="00F21603">
        <w:rPr>
          <w:rFonts w:ascii="Arial" w:hAnsi="Arial" w:cs="Arial"/>
        </w:rPr>
        <w:t>s</w:t>
      </w:r>
      <w:r w:rsidR="0077500B" w:rsidRPr="00F21603">
        <w:rPr>
          <w:rFonts w:ascii="Arial" w:hAnsi="Arial" w:cs="Arial"/>
        </w:rPr>
        <w:t xml:space="preserve"> </w:t>
      </w:r>
      <w:r w:rsidR="003826C4" w:rsidRPr="00F21603">
        <w:rPr>
          <w:rFonts w:ascii="Arial" w:hAnsi="Arial" w:cs="Arial"/>
        </w:rPr>
        <w:t>Ereignis</w:t>
      </w:r>
      <w:r w:rsidR="0077500B" w:rsidRPr="00F21603">
        <w:rPr>
          <w:rFonts w:ascii="Arial" w:hAnsi="Arial" w:cs="Arial"/>
        </w:rPr>
        <w:t xml:space="preserve">, </w:t>
      </w:r>
      <w:r w:rsidR="00E54BEC" w:rsidRPr="00F21603">
        <w:rPr>
          <w:rFonts w:ascii="Arial" w:hAnsi="Arial" w:cs="Arial"/>
        </w:rPr>
        <w:t>welches</w:t>
      </w:r>
      <w:r w:rsidR="0077500B" w:rsidRPr="00F21603">
        <w:rPr>
          <w:rFonts w:ascii="Arial" w:hAnsi="Arial" w:cs="Arial"/>
        </w:rPr>
        <w:t xml:space="preserve"> ein breiteres Spektrum an Aktivitäten wie gemeinsames Kochen und Teilen von Essen umfasst </w:t>
      </w:r>
      <w:r w:rsidR="008F49CE" w:rsidRPr="00F21603">
        <w:rPr>
          <w:rFonts w:ascii="Arial" w:hAnsi="Arial" w:cs="Arial"/>
        </w:rPr>
        <w:fldChar w:fldCharType="begin" w:fldLock="1"/>
      </w:r>
      <w:r w:rsidR="008F49CE" w:rsidRPr="00F21603">
        <w:rPr>
          <w:rFonts w:ascii="Arial" w:hAnsi="Arial" w:cs="Arial"/>
        </w:rPr>
        <w:instrText>ADDIN CSL_CITATION {"citationItems":[{"id":"ITEM-1","itemData":{"DOI":"10.1016/j.appet.2016.06.026","ISSN":"10958304","abstract":"French consumers’ perceptions of nutrition and health claims (NHC) are studied using both qualitative (n = 89) and quantitative (n = 1000) methods. We analyse the participants’ unprompted associations between nutrients and foods and construct a “lay food composition table”. We find evidence for a degree of familiarity, in most cases in name only, with macronutrients and a small number of micronutrients. We then turn to assessing how compatible nutritional claims are with the « lay food composition table » and with pre-existing, culture-based representations of the fate of foods in the body. We thus identify some principles predicting for positive or negative response in relation to types of claims. We also assess the credibility of types of claims according to the function cited and the carrier food. Finally, we test perception of hypothetical fortifications according to origin of nutrient and type of carrier food (e.g. omega 3 from fish oil in ham). Results and conclusions: we find (1) that the very principle of fortification disrupts culture-based representations French consumers have of the link between food and health, which they consider to essentially reside in a “varied and balanced diet”. And that (2), in spite of a general disposition against NHC, some types of claims are deemed more acceptable and credible than others. The questions raised by these findings are whether and to what extent nutrition can, does and should replace food cultures.","author":[{"dropping-particle":"","family":"Masson","given":"Estelle","non-dropping-particle":"","parse-names":false,"suffix":""},{"dropping-particle":"","family":"Debucquet","given":"Gervaise","non-dropping-particle":"","parse-names":false,"suffix":""},{"dropping-particle":"","family":"Fischler","given":"Claude","non-dropping-particle":"","parse-names":false,"suffix":""},{"dropping-particle":"","family":"Merdji","given":"Mohamed","non-dropping-particle":"","parse-names":false,"suffix":""}],"container-title":"Appetite","id":"ITEM-1","issue":"June","issued":{"date-parts":[["2016"]]},"page":"618-629","title":"French consumers’ perceptions of nutrition and health claims: A psychosocial-anthropological approach","type":"article-journal","volume":"105"},"uris":["http://www.mendeley.com/documents/?uuid=3d4af300-0dc2-41d9-a7a7-8514aa82e704","http://www.mendeley.com/documents/?uuid=ad32ab16-4bbd-4881-8e5d-48f526f9c6a2"]},{"id":"ITEM-2","itemData":{"DOI":"10.1016/j.appet.2006.01.017","ISSN":"01956663","abstract":"Telephone interviews of 6000 representative adults from France, Germany, Italy, Switzerland, the UK, and the USA, included two items on attitudes to variety. One had to do with whether the respondent preferred a choice of 10 versus 50 ice cream flavors. Ten choices were preferred by a majority of respondents from each country except the United States. A second item asked whether one expected a small or large menu choice in an upscale restaurant. A majority in all countries expected the small number of choices, but this expectation was lowest in the UK and USA. High variety expectations and preferences were weakly positively correlated (r=0.19). There was no substantial relation between a variety of demographic variables and variety preferences or expectations, except that older people were less inclined to prefer the high (50) variety in ice cream choices (r=0.28). The results suggest that the US, and the UK to some extent, focus on providing choices that cater to individual differences in preferences, whereas the continental European countries are more attached to communal eating values. © 2006 Elsevier Ltd. All rights reserved.","author":[{"dropping-particle":"","family":"Rozin","given":"Paul","non-dropping-particle":"","parse-names":false,"suffix":""},{"dropping-particle":"","family":"Fischler","given":"Claude","non-dropping-particle":"","parse-names":false,"suffix":""},{"dropping-particle":"","family":"Shields","given":"Christy","non-dropping-particle":"","parse-names":false,"suffix":""},{"dropping-particle":"","family":"Masson","given":"Estelle","non-dropping-particle":"","parse-names":false,"suffix":""}],"container-title":"Appetite","id":"ITEM-2","issue":"3","issued":{"date-parts":[["2006"]]},"page":"304-308","title":"Attitudes towards large numbers of choices in the food domain: A cross-cultural study of five countries in Europe and the USA","type":"article-journal","volume":"46"},"uris":["http://www.mendeley.com/documents/?uuid=25f566ab-a965-419a-ad39-461f3d7a3c9a","http://www.mendeley.com/documents/?uuid=7621fdc3-f27d-4c7b-af47-ef860d65b483","http://www.mendeley.com/documents/?uuid=73a4998d-9936-4f9f-9fd5-bfd6388d80b8"]}],"mendeley":{"formattedCitation":"(Masson, Debucquet, Fischler, &amp; Merdji, 2016; Rozin, Fischler, Shields, &amp; Masson, 2006)","plainTextFormattedCitation":"(Masson, Debucquet, Fischler, &amp; Merdji, 2016; Rozin, Fischler, Shields, &amp; Masson, 2006)","previouslyFormattedCitation":"(Masson, Debucquet, Fischler, &amp; Merdji, 2016; Rozin, Fischler, Shields, &amp; Masson, 2006)"},"properties":{"noteIndex":0},"schema":"https://github.com/citation-style-language/schema/raw/master/csl-citation.json"}</w:instrText>
      </w:r>
      <w:r w:rsidR="008F49CE" w:rsidRPr="00F21603">
        <w:rPr>
          <w:rFonts w:ascii="Arial" w:hAnsi="Arial" w:cs="Arial"/>
        </w:rPr>
        <w:fldChar w:fldCharType="separate"/>
      </w:r>
      <w:r w:rsidR="008F49CE" w:rsidRPr="00F21603">
        <w:rPr>
          <w:rFonts w:ascii="Arial" w:hAnsi="Arial" w:cs="Arial"/>
          <w:noProof/>
        </w:rPr>
        <w:t>(Masson, Debucquet, Fischler, &amp; Merdji, 2016; Rozin, Fischler, Shields, &amp; Masson, 2006)</w:t>
      </w:r>
      <w:r w:rsidR="008F49CE" w:rsidRPr="00F21603">
        <w:rPr>
          <w:rFonts w:ascii="Arial" w:hAnsi="Arial" w:cs="Arial"/>
        </w:rPr>
        <w:fldChar w:fldCharType="end"/>
      </w:r>
      <w:r w:rsidR="008F49CE" w:rsidRPr="00F21603">
        <w:rPr>
          <w:rFonts w:ascii="Arial" w:hAnsi="Arial" w:cs="Arial"/>
        </w:rPr>
        <w:t>.</w:t>
      </w:r>
    </w:p>
    <w:p w14:paraId="4C743ABD" w14:textId="1E3DBAB1" w:rsidR="008F49CE" w:rsidRPr="00F21603" w:rsidRDefault="0077500B" w:rsidP="00F21603">
      <w:pPr>
        <w:spacing w:after="120"/>
        <w:jc w:val="both"/>
        <w:rPr>
          <w:rFonts w:ascii="Arial" w:hAnsi="Arial" w:cs="Arial"/>
        </w:rPr>
      </w:pPr>
      <w:r w:rsidRPr="00F21603">
        <w:rPr>
          <w:rFonts w:ascii="Arial" w:hAnsi="Arial" w:cs="Arial"/>
        </w:rPr>
        <w:t xml:space="preserve">Im Gegensatz dazu beachten </w:t>
      </w:r>
      <w:r w:rsidR="00683C56" w:rsidRPr="00F21603">
        <w:rPr>
          <w:rFonts w:ascii="Arial" w:hAnsi="Arial" w:cs="Arial"/>
        </w:rPr>
        <w:t>US-</w:t>
      </w:r>
      <w:r w:rsidRPr="00F21603">
        <w:rPr>
          <w:rFonts w:ascii="Arial" w:hAnsi="Arial" w:cs="Arial"/>
        </w:rPr>
        <w:t>Amerikaner</w:t>
      </w:r>
      <w:r w:rsidR="00683C56" w:rsidRPr="00F21603">
        <w:rPr>
          <w:rFonts w:ascii="Arial" w:hAnsi="Arial" w:cs="Arial"/>
        </w:rPr>
        <w:t>*innen</w:t>
      </w:r>
      <w:r w:rsidRPr="00F21603">
        <w:rPr>
          <w:rFonts w:ascii="Arial" w:hAnsi="Arial" w:cs="Arial"/>
        </w:rPr>
        <w:t xml:space="preserve"> </w:t>
      </w:r>
      <w:r w:rsidR="0072609A" w:rsidRPr="00F21603">
        <w:rPr>
          <w:rFonts w:ascii="Arial" w:hAnsi="Arial" w:cs="Arial"/>
        </w:rPr>
        <w:t xml:space="preserve">in ihrem lebensmittelbezogenen Lebensstil </w:t>
      </w:r>
      <w:r w:rsidRPr="00F21603">
        <w:rPr>
          <w:rFonts w:ascii="Arial" w:hAnsi="Arial" w:cs="Arial"/>
        </w:rPr>
        <w:t xml:space="preserve">strenge Regeln </w:t>
      </w:r>
      <w:r w:rsidR="0072609A" w:rsidRPr="00F21603">
        <w:rPr>
          <w:rFonts w:ascii="Arial" w:hAnsi="Arial" w:cs="Arial"/>
        </w:rPr>
        <w:t>bei</w:t>
      </w:r>
      <w:r w:rsidRPr="00F21603">
        <w:rPr>
          <w:rFonts w:ascii="Arial" w:hAnsi="Arial" w:cs="Arial"/>
        </w:rPr>
        <w:t xml:space="preserve"> Gesundheit</w:t>
      </w:r>
      <w:r w:rsidR="008B25E6">
        <w:rPr>
          <w:rFonts w:ascii="Arial" w:hAnsi="Arial" w:cs="Arial"/>
        </w:rPr>
        <w:t xml:space="preserve"> </w:t>
      </w:r>
      <w:r w:rsidR="00005DC4">
        <w:rPr>
          <w:rFonts w:ascii="Arial" w:hAnsi="Arial" w:cs="Arial"/>
        </w:rPr>
        <w:t xml:space="preserve">sowie </w:t>
      </w:r>
      <w:r w:rsidR="003F1F23" w:rsidRPr="00F21603">
        <w:rPr>
          <w:rFonts w:ascii="Arial" w:hAnsi="Arial" w:cs="Arial"/>
        </w:rPr>
        <w:t xml:space="preserve">Ernährung </w:t>
      </w:r>
      <w:r w:rsidRPr="00F21603">
        <w:rPr>
          <w:rFonts w:ascii="Arial" w:hAnsi="Arial" w:cs="Arial"/>
        </w:rPr>
        <w:t xml:space="preserve">und </w:t>
      </w:r>
      <w:r w:rsidR="0072609A" w:rsidRPr="00F21603">
        <w:rPr>
          <w:rFonts w:ascii="Arial" w:hAnsi="Arial" w:cs="Arial"/>
        </w:rPr>
        <w:t xml:space="preserve">suchen nach den „richtigen“ </w:t>
      </w:r>
      <w:r w:rsidRPr="00F21603">
        <w:rPr>
          <w:rFonts w:ascii="Arial" w:hAnsi="Arial" w:cs="Arial"/>
        </w:rPr>
        <w:t>Informationen</w:t>
      </w:r>
      <w:r w:rsidR="00A527B2" w:rsidRPr="00F21603">
        <w:rPr>
          <w:rFonts w:ascii="Arial" w:hAnsi="Arial" w:cs="Arial"/>
        </w:rPr>
        <w:t>.</w:t>
      </w:r>
      <w:r w:rsidRPr="00F21603">
        <w:rPr>
          <w:rFonts w:ascii="Arial" w:hAnsi="Arial" w:cs="Arial"/>
        </w:rPr>
        <w:t xml:space="preserve"> Außerdem sind </w:t>
      </w:r>
      <w:r w:rsidR="00F8097A" w:rsidRPr="00F21603">
        <w:rPr>
          <w:rFonts w:ascii="Arial" w:hAnsi="Arial" w:cs="Arial"/>
        </w:rPr>
        <w:t>sie</w:t>
      </w:r>
      <w:r w:rsidRPr="00F21603">
        <w:rPr>
          <w:rFonts w:ascii="Arial" w:hAnsi="Arial" w:cs="Arial"/>
        </w:rPr>
        <w:t xml:space="preserve"> überwiegend </w:t>
      </w:r>
      <w:r w:rsidR="00016587">
        <w:rPr>
          <w:rFonts w:ascii="Arial" w:hAnsi="Arial" w:cs="Arial"/>
        </w:rPr>
        <w:t>„</w:t>
      </w:r>
      <w:r w:rsidRPr="00F21603">
        <w:rPr>
          <w:rFonts w:ascii="Arial" w:hAnsi="Arial" w:cs="Arial"/>
        </w:rPr>
        <w:t>Idealisten</w:t>
      </w:r>
      <w:r w:rsidR="00016587">
        <w:rPr>
          <w:rFonts w:ascii="Arial" w:hAnsi="Arial" w:cs="Arial"/>
        </w:rPr>
        <w:t>“</w:t>
      </w:r>
      <w:r w:rsidR="00F8097A" w:rsidRPr="00F21603">
        <w:rPr>
          <w:rFonts w:ascii="Arial" w:hAnsi="Arial" w:cs="Arial"/>
        </w:rPr>
        <w:t xml:space="preserve"> mit dem Glauben, </w:t>
      </w:r>
      <w:r w:rsidRPr="00F21603">
        <w:rPr>
          <w:rFonts w:ascii="Arial" w:hAnsi="Arial" w:cs="Arial"/>
        </w:rPr>
        <w:t>das</w:t>
      </w:r>
      <w:r w:rsidR="00016587">
        <w:rPr>
          <w:rFonts w:ascii="Arial" w:hAnsi="Arial" w:cs="Arial"/>
        </w:rPr>
        <w:t>s</w:t>
      </w:r>
      <w:r w:rsidRPr="00F21603">
        <w:rPr>
          <w:rFonts w:ascii="Arial" w:hAnsi="Arial" w:cs="Arial"/>
        </w:rPr>
        <w:t xml:space="preserve"> Essen ein individueller Akt, ein Recht und eine persönliche Freiheit ist, die rational, wissenschaftlich und ökonomisch logisch sein soll </w:t>
      </w:r>
      <w:r w:rsidR="008F49CE" w:rsidRPr="00F21603">
        <w:rPr>
          <w:rFonts w:ascii="Arial" w:hAnsi="Arial" w:cs="Arial"/>
        </w:rPr>
        <w:fldChar w:fldCharType="begin" w:fldLock="1"/>
      </w:r>
      <w:r w:rsidR="008F49CE" w:rsidRPr="00F21603">
        <w:rPr>
          <w:rFonts w:ascii="Arial" w:hAnsi="Arial" w:cs="Arial"/>
        </w:rPr>
        <w:instrText>ADDIN CSL_CITATION {"citationItems":[{"id":"ITEM-1","itemData":{"DOI":"10.1177/0539018411413963","ISSN":"05390184","abstract":"The founding fathers of the social sciences recognized commensality as a major issue but considered it mostly in a religious, sacrificial, ritualistic context. The notion of commensality is examined in its various dimensions and operations. Empirical data are used to examine cultural variability in attitudes about food, commensality and its correlates among countries usually categorized as 'Western' and 'modern'. Clear-cut differences are identified, hinting at possible relationships between, on the one hand, cultural attachment to commensality and, on the other hand, a lower prevalence of obesity and associated health problems involving nutrition. © The Author(s) 2011.","author":[{"dropping-particle":"","family":"Fischler","given":"Claude","non-dropping-particle":"","parse-names":false,"suffix":""}],"container-title":"Social Science Information","id":"ITEM-1","issue":"3-4","issued":{"date-parts":[["2011"]]},"page":"528-548","title":"Commensality, society and culture","type":"article-journal","volume":"50"},"uris":["http://www.mendeley.com/documents/?uuid=53fd5596-0b55-4c8d-8265-0cce17687753","http://www.mendeley.com/documents/?uuid=829be186-e804-4320-9164-2337a3a4c84e"]},{"id":"ITEM-2","itemData":{"DOI":"10.1016/j.appet.2006.01.017","ISSN":"01956663","abstract":"Telephone interviews of 6000 representative adults from France, Germany, Italy, Switzerland, the UK, and the USA, included two items on attitudes to variety. One had to do with whether the respondent preferred a choice of 10 versus 50 ice cream flavors. Ten choices were preferred by a majority of respondents from each country except the United States. A second item asked whether one expected a small or large menu choice in an upscale restaurant. A majority in all countries expected the small number of choices, but this expectation was lowest in the UK and USA. High variety expectations and preferences were weakly positively correlated (r=0.19). There was no substantial relation between a variety of demographic variables and variety preferences or expectations, except that older people were less inclined to prefer the high (50) variety in ice cream choices (r=0.28). The results suggest that the US, and the UK to some extent, focus on providing choices that cater to individual differences in preferences, whereas the continental European countries are more attached to communal eating values. © 2006 Elsevier Ltd. All rights reserved.","author":[{"dropping-particle":"","family":"Rozin","given":"Paul","non-dropping-particle":"","parse-names":false,"suffix":""},{"dropping-particle":"","family":"Fischler","given":"Claude","non-dropping-particle":"","parse-names":false,"suffix":""},{"dropping-particle":"","family":"Shields","given":"Christy","non-dropping-particle":"","parse-names":false,"suffix":""},{"dropping-particle":"","family":"Masson","given":"Estelle","non-dropping-particle":"","parse-names":false,"suffix":""}],"container-title":"Appetite","id":"ITEM-2","issue":"3","issued":{"date-parts":[["2006"]]},"page":"304-308","title":"Attitudes towards large numbers of choices in the food domain: A cross-cultural study of five countries in Europe and the USA","type":"article-journal","volume":"46"},"uris":["http://www.mendeley.com/documents/?uuid=25f566ab-a965-419a-ad39-461f3d7a3c9a","http://www.mendeley.com/documents/?uuid=7621fdc3-f27d-4c7b-af47-ef860d65b483","http://www.mendeley.com/documents/?uuid=dc231197-a1d1-4d79-b561-a72164aa2199"]},{"id":"ITEM-3","itemData":{"DOI":"10.1016/S1499-4046(06)60209-1","ISSN":"14994046","PMID":"16246277","abstract":"Humans are biologically adapted to their ancestral food environment in which foods were dispersed and energy expenditure was required to obtain them. The modern developed world has a surplus of very accessible, inexpensive food. Amid the enormous variety of different foods are \"super\" foods, such as chocolate, which are particularly appealing and calorie dense. Energy output can be minimal to obtain large amounts of food. In terms of education (eg, in nutrition and risk-benefit thinking) and environment design, modern cultures have not kept pace with changes in the food world. Overweight and worrying about food result from this mismatch between human biological predispositions and the current food environment. The French have coped with this mismatch better than Americans. Although at least as healthy as Americans, they focus more on the experience of eating and less on the health effects of eating. They spend more time eating, but they eat less, partly because of smaller portion sizes. French traditions of moderation (versus American abundance), focus on quality (versus quantity), and emphasis on the joys of the moment (rather than making life comfortable and easy) support a healthier lifestyle. The French physical environment encourages slow, moderate social eating, minimal snacking, and more physical activity in daily life. ©2005 Society for Nutrition Education.","author":[{"dropping-particle":"","family":"Rozin","given":"Paul","non-dropping-particle":"","parse-names":false,"suffix":""}],"container-title":"Journal of Nutrition Education and Behavior","id":"ITEM-3","issue":"SUPPL. 2","issued":{"date-parts":[["2005"]]},"title":"The meaning of food in our lives: A cross-cultural perspective on eating and well-being","type":"article-journal","volume":"37"},"uris":["http://www.mendeley.com/documents/?uuid=8b00ef6c-a9ae-4054-865b-8cb7243a244e","http://www.mendeley.com/documents/?uuid=441c32ea-a4e3-4f0c-b6b8-4853b12bc7d1","http://www.mendeley.com/documents/?uuid=4f110e78-9c1c-4109-aa01-ca298f7381e3"]},{"id":"ITEM-4","itemData":{"DOI":"10.1186/s12889-019-7844-4","ISSN":"14712458","abstract":"Across the world, there has been a movement from traditional to modern eating, including a movement of traditional eating patterns from their origin culture to new cultures, and the emergence of new foods and eating behaviors. This trend toward modern eating is of particular significance because traditional eating has been related to positive health outcomes and sustainability. Yet, there is no consensus on what constitutes traditional and modern eating. The present study provides a comprehensive compilation of the various facets that seem to make up traditional and modern eating. Specifically, 106 facets were mentioned in the previous literature and expert discussions, combining international and interdisciplinary perspectives. The present study provides a framework (the TEP10 framework) systematizing these 106 facets into two major dimensions, what and how people eat, and 12 subdimensions. Hence, focusing only on single facets of traditional and modern eating is an oversimplification of this complex phenomenon. Instead, the multidimensionality and interplay between different facets should be considered to gain a comprehensive understanding of the trends, consequences, and underlying factors of traditional and modern eating.","author":[{"dropping-particle":"","family":"Sproesser","given":"Gudrun","non-dropping-particle":"","parse-names":false,"suffix":""},{"dropping-particle":"","family":"Ruby","given":"Matthew B.","non-dropping-particle":"","parse-names":false,"suffix":""},{"dropping-particle":"","family":"Arbit","given":"Naomi","non-dropping-particle":"","parse-names":false,"suffix":""},{"dropping-particle":"","family":"Akotia","given":"Charity S.","non-dropping-particle":"","parse-names":false,"suffix":""},{"dropping-particle":"","family":"Alvarenga","given":"Marle Dos Santos","non-dropping-particle":"","parse-names":false,"suffix":""},{"dropping-particle":"","family":"Bhangaokar","given":"Rachana","non-dropping-particle":"","parse-names":false,"suffix":""},{"dropping-particle":"","family":"Furumitsu","given":"Isato","non-dropping-particle":"","parse-names":false,"suffix":""},{"dropping-particle":"","family":"Hu","given":"Xiaomeng","non-dropping-particle":"","parse-names":false,"suffix":""},{"dropping-particle":"","family":"Imada","given":"Sumio","non-dropping-particle":"","parse-names":false,"suffix":""},{"dropping-particle":"","family":"Kaptan","given":"Gülbanu","non-dropping-particle":"","parse-names":false,"suffix":""},{"dropping-particle":"","family":"Kaufer-Horwitz","given":"Martha","non-dropping-particle":"","parse-names":false,"suffix":""},{"dropping-particle":"","family":"Menon","given":"Usha","non-dropping-particle":"","parse-names":false,"suffix":""},{"dropping-particle":"","family":"Fischler","given":"Claude","non-dropping-particle":"","parse-names":false,"suffix":""},{"dropping-particle":"","family":"Rozin","given":"Paul","non-dropping-particle":"","parse-names":false,"suffix":""},{"dropping-particle":"","family":"Schupp","given":"Harald T.","non-dropping-particle":"","parse-names":false,"suffix":""},{"dropping-particle":"","family":"Renner","given":"Britta","non-dropping-particle":"","parse-names":false,"suffix":""}],"container-title":"BMC Public Health","id":"ITEM-4","issue":"1","issued":{"date-parts":[["2019"]]},"page":"1-14","publisher":"BMC Public Health","title":"Understanding traditional and modern eating: The TEP10 framework","type":"article-journal","volume":"19"},"uris":["http://www.mendeley.com/documents/?uuid=4e11f22e-8d93-48b9-8487-f40cd6473e08","http://www.mendeley.com/documents/?uuid=b7b7cade-2d91-419e-84f4-ec56d5166ce5","http://www.mendeley.com/documents/?uuid=d93ce798-8945-4b03-8133-4d954ac79529"]}],"mendeley":{"formattedCitation":"(Fischler, 2011; Rozin, 2005; Rozin et al., 2006; Sproesser et al., 2019)","plainTextFormattedCitation":"(Fischler, 2011; Rozin, 2005; Rozin et al., 2006; Sproesser et al., 2019)","previouslyFormattedCitation":"(Fischler, 2011; Rozin, 2005; Rozin et al., 2006; Sproesser et al., 2019)"},"properties":{"noteIndex":0},"schema":"https://github.com/citation-style-language/schema/raw/master/csl-citation.json"}</w:instrText>
      </w:r>
      <w:r w:rsidR="008F49CE" w:rsidRPr="00F21603">
        <w:rPr>
          <w:rFonts w:ascii="Arial" w:hAnsi="Arial" w:cs="Arial"/>
        </w:rPr>
        <w:fldChar w:fldCharType="separate"/>
      </w:r>
      <w:r w:rsidR="008F49CE" w:rsidRPr="00F21603">
        <w:rPr>
          <w:rFonts w:ascii="Arial" w:hAnsi="Arial" w:cs="Arial"/>
          <w:noProof/>
        </w:rPr>
        <w:t>(Fischler, 2011; Rozin, 2005; Rozin et al., 2006; Sproesser et al., 2019)</w:t>
      </w:r>
      <w:r w:rsidR="008F49CE" w:rsidRPr="00F21603">
        <w:rPr>
          <w:rFonts w:ascii="Arial" w:hAnsi="Arial" w:cs="Arial"/>
        </w:rPr>
        <w:fldChar w:fldCharType="end"/>
      </w:r>
      <w:r w:rsidR="008F49CE" w:rsidRPr="00F21603">
        <w:rPr>
          <w:rFonts w:ascii="Arial" w:hAnsi="Arial" w:cs="Arial"/>
        </w:rPr>
        <w:t>.</w:t>
      </w:r>
    </w:p>
    <w:p w14:paraId="7F14659D" w14:textId="16B578CC" w:rsidR="00086E05" w:rsidRPr="00F21603" w:rsidRDefault="004B0B13" w:rsidP="00F21603">
      <w:pPr>
        <w:pStyle w:val="Kommentartext"/>
        <w:rPr>
          <w:rFonts w:ascii="Arial" w:hAnsi="Arial" w:cs="Arial"/>
          <w:sz w:val="24"/>
          <w:szCs w:val="24"/>
          <w:lang w:val="de-AT"/>
        </w:rPr>
      </w:pPr>
      <w:r w:rsidRPr="00F21603">
        <w:rPr>
          <w:rFonts w:ascii="Arial" w:hAnsi="Arial" w:cs="Arial"/>
          <w:sz w:val="24"/>
          <w:szCs w:val="24"/>
          <w:lang w:val="de-AT"/>
        </w:rPr>
        <w:t xml:space="preserve">Obwohl </w:t>
      </w:r>
      <w:r w:rsidR="00683C56" w:rsidRPr="00F21603">
        <w:rPr>
          <w:rFonts w:ascii="Arial" w:hAnsi="Arial" w:cs="Arial"/>
          <w:sz w:val="24"/>
          <w:szCs w:val="24"/>
          <w:lang w:val="de-AT"/>
        </w:rPr>
        <w:t>US-</w:t>
      </w:r>
      <w:r w:rsidR="0077500B" w:rsidRPr="00F21603">
        <w:rPr>
          <w:rFonts w:ascii="Arial" w:hAnsi="Arial" w:cs="Arial"/>
          <w:sz w:val="24"/>
          <w:szCs w:val="24"/>
          <w:lang w:val="de-AT"/>
        </w:rPr>
        <w:t>Amerikaner</w:t>
      </w:r>
      <w:r w:rsidR="00683C56" w:rsidRPr="00F21603">
        <w:rPr>
          <w:rFonts w:ascii="Arial" w:hAnsi="Arial" w:cs="Arial"/>
          <w:sz w:val="24"/>
          <w:szCs w:val="24"/>
          <w:lang w:val="de-AT"/>
        </w:rPr>
        <w:t>*innen</w:t>
      </w:r>
      <w:r w:rsidRPr="00F21603">
        <w:rPr>
          <w:rFonts w:ascii="Arial" w:hAnsi="Arial" w:cs="Arial"/>
          <w:sz w:val="24"/>
          <w:szCs w:val="24"/>
          <w:lang w:val="de-AT"/>
        </w:rPr>
        <w:t xml:space="preserve"> </w:t>
      </w:r>
      <w:r w:rsidR="004308B3" w:rsidRPr="00F21603">
        <w:rPr>
          <w:rFonts w:ascii="Arial" w:hAnsi="Arial" w:cs="Arial"/>
          <w:sz w:val="24"/>
          <w:szCs w:val="24"/>
          <w:lang w:val="de-AT"/>
        </w:rPr>
        <w:t>kulturell bedingt</w:t>
      </w:r>
      <w:r w:rsidR="0077500B" w:rsidRPr="00F21603">
        <w:rPr>
          <w:rFonts w:ascii="Arial" w:hAnsi="Arial" w:cs="Arial"/>
          <w:sz w:val="24"/>
          <w:szCs w:val="24"/>
          <w:lang w:val="de-AT"/>
        </w:rPr>
        <w:t xml:space="preserve"> </w:t>
      </w:r>
      <w:r w:rsidRPr="00F21603">
        <w:rPr>
          <w:rFonts w:ascii="Arial" w:hAnsi="Arial" w:cs="Arial"/>
          <w:sz w:val="24"/>
          <w:szCs w:val="24"/>
          <w:lang w:val="de-AT"/>
        </w:rPr>
        <w:t>mehr</w:t>
      </w:r>
      <w:r w:rsidR="00086E05" w:rsidRPr="00F21603">
        <w:rPr>
          <w:rFonts w:ascii="Arial" w:hAnsi="Arial" w:cs="Arial"/>
          <w:sz w:val="24"/>
          <w:szCs w:val="24"/>
          <w:lang w:val="de-AT"/>
        </w:rPr>
        <w:t>heitlich</w:t>
      </w:r>
      <w:r w:rsidRPr="00F21603">
        <w:rPr>
          <w:rFonts w:ascii="Arial" w:hAnsi="Arial" w:cs="Arial"/>
          <w:sz w:val="24"/>
          <w:szCs w:val="24"/>
          <w:lang w:val="de-AT"/>
        </w:rPr>
        <w:t xml:space="preserve"> </w:t>
      </w:r>
      <w:r w:rsidR="0077500B" w:rsidRPr="00F21603">
        <w:rPr>
          <w:rFonts w:ascii="Arial" w:hAnsi="Arial" w:cs="Arial"/>
          <w:sz w:val="24"/>
          <w:szCs w:val="24"/>
          <w:lang w:val="de-AT"/>
        </w:rPr>
        <w:t xml:space="preserve">aus funktionalen Gründen essen, </w:t>
      </w:r>
      <w:r w:rsidRPr="00F21603">
        <w:rPr>
          <w:rFonts w:ascii="Arial" w:hAnsi="Arial" w:cs="Arial"/>
          <w:sz w:val="24"/>
          <w:szCs w:val="24"/>
          <w:lang w:val="de-AT"/>
        </w:rPr>
        <w:t xml:space="preserve">sind sie </w:t>
      </w:r>
      <w:r w:rsidR="0077500B" w:rsidRPr="00F21603">
        <w:rPr>
          <w:rFonts w:ascii="Arial" w:hAnsi="Arial" w:cs="Arial"/>
          <w:sz w:val="24"/>
          <w:szCs w:val="24"/>
          <w:lang w:val="de-AT"/>
        </w:rPr>
        <w:t xml:space="preserve">fettleibiger als Franzosen, </w:t>
      </w:r>
      <w:r w:rsidR="00086E05" w:rsidRPr="00F21603">
        <w:rPr>
          <w:rFonts w:ascii="Arial" w:hAnsi="Arial" w:cs="Arial"/>
          <w:sz w:val="24"/>
          <w:szCs w:val="24"/>
          <w:lang w:val="de-AT"/>
        </w:rPr>
        <w:t xml:space="preserve">bei denen </w:t>
      </w:r>
      <w:r w:rsidR="0077500B" w:rsidRPr="00F21603">
        <w:rPr>
          <w:rFonts w:ascii="Arial" w:hAnsi="Arial" w:cs="Arial"/>
          <w:sz w:val="24"/>
          <w:szCs w:val="24"/>
          <w:lang w:val="de-AT"/>
        </w:rPr>
        <w:t xml:space="preserve">Freude, Geschmack und </w:t>
      </w:r>
      <w:r w:rsidR="003A52B5" w:rsidRPr="00F21603">
        <w:rPr>
          <w:rFonts w:ascii="Arial" w:hAnsi="Arial" w:cs="Arial"/>
          <w:sz w:val="24"/>
          <w:szCs w:val="24"/>
          <w:lang w:val="de-AT"/>
        </w:rPr>
        <w:t>Interaktion</w:t>
      </w:r>
      <w:r w:rsidR="0077500B" w:rsidRPr="00F21603">
        <w:rPr>
          <w:rFonts w:ascii="Arial" w:hAnsi="Arial" w:cs="Arial"/>
          <w:sz w:val="24"/>
          <w:szCs w:val="24"/>
          <w:lang w:val="de-AT"/>
        </w:rPr>
        <w:t xml:space="preserve"> </w:t>
      </w:r>
      <w:r w:rsidR="00086E05" w:rsidRPr="00F21603">
        <w:rPr>
          <w:rFonts w:ascii="Arial" w:hAnsi="Arial" w:cs="Arial"/>
          <w:sz w:val="24"/>
          <w:szCs w:val="24"/>
          <w:lang w:val="de-AT"/>
        </w:rPr>
        <w:t xml:space="preserve">wichtiger </w:t>
      </w:r>
      <w:r w:rsidR="00086E05" w:rsidRPr="00F21603">
        <w:rPr>
          <w:rFonts w:ascii="Arial" w:hAnsi="Arial" w:cs="Arial"/>
          <w:sz w:val="24"/>
          <w:szCs w:val="24"/>
          <w:lang w:val="de-AT"/>
        </w:rPr>
        <w:t xml:space="preserve">als funktionale Ernährung </w:t>
      </w:r>
      <w:r w:rsidR="001026DB" w:rsidRPr="00F21603">
        <w:rPr>
          <w:rFonts w:ascii="Arial" w:hAnsi="Arial" w:cs="Arial"/>
          <w:sz w:val="24"/>
          <w:szCs w:val="24"/>
          <w:lang w:val="de-AT"/>
        </w:rPr>
        <w:t xml:space="preserve">beim Essen </w:t>
      </w:r>
      <w:r w:rsidR="00A70F21" w:rsidRPr="00F21603">
        <w:rPr>
          <w:rFonts w:ascii="Arial" w:hAnsi="Arial" w:cs="Arial"/>
          <w:sz w:val="24"/>
          <w:szCs w:val="24"/>
          <w:lang w:val="de-AT"/>
        </w:rPr>
        <w:t>sind</w:t>
      </w:r>
      <w:r w:rsidR="001026DB" w:rsidRPr="00F21603">
        <w:rPr>
          <w:rFonts w:ascii="Arial" w:hAnsi="Arial" w:cs="Arial"/>
          <w:sz w:val="24"/>
          <w:szCs w:val="24"/>
          <w:lang w:val="de-AT"/>
        </w:rPr>
        <w:t>.</w:t>
      </w:r>
    </w:p>
    <w:p w14:paraId="7A4EF4F2" w14:textId="0BF942D2" w:rsidR="0077500B" w:rsidRPr="00F21603" w:rsidRDefault="00A70F21" w:rsidP="00F21603">
      <w:pPr>
        <w:pStyle w:val="Kommentartext"/>
        <w:rPr>
          <w:rFonts w:ascii="Arial" w:hAnsi="Arial" w:cs="Arial"/>
          <w:sz w:val="24"/>
          <w:szCs w:val="24"/>
          <w:lang w:val="de-AT"/>
        </w:rPr>
      </w:pPr>
      <w:r w:rsidRPr="00F21603">
        <w:rPr>
          <w:rFonts w:ascii="Arial" w:hAnsi="Arial" w:cs="Arial"/>
          <w:sz w:val="24"/>
          <w:szCs w:val="24"/>
          <w:lang w:val="de-AT"/>
        </w:rPr>
        <w:t xml:space="preserve">Dieser </w:t>
      </w:r>
      <w:r w:rsidR="001120FB">
        <w:rPr>
          <w:rFonts w:ascii="Arial" w:hAnsi="Arial" w:cs="Arial"/>
          <w:sz w:val="24"/>
          <w:szCs w:val="24"/>
          <w:lang w:val="de-AT"/>
        </w:rPr>
        <w:t xml:space="preserve">spannende </w:t>
      </w:r>
      <w:r w:rsidRPr="00F21603">
        <w:rPr>
          <w:rFonts w:ascii="Arial" w:hAnsi="Arial" w:cs="Arial"/>
          <w:sz w:val="24"/>
          <w:szCs w:val="24"/>
          <w:lang w:val="de-AT"/>
        </w:rPr>
        <w:t xml:space="preserve">Gegensatz </w:t>
      </w:r>
      <w:r w:rsidR="002239D1" w:rsidRPr="00F21603">
        <w:rPr>
          <w:rFonts w:ascii="Arial" w:hAnsi="Arial" w:cs="Arial"/>
          <w:sz w:val="24"/>
          <w:szCs w:val="24"/>
          <w:lang w:val="de-AT"/>
        </w:rPr>
        <w:t xml:space="preserve">motivierte </w:t>
      </w:r>
      <w:r w:rsidR="0077500B" w:rsidRPr="00F21603">
        <w:rPr>
          <w:rFonts w:ascii="Arial" w:hAnsi="Arial" w:cs="Arial"/>
          <w:sz w:val="24"/>
          <w:szCs w:val="24"/>
          <w:lang w:val="de-AT"/>
        </w:rPr>
        <w:t xml:space="preserve">das Institut </w:t>
      </w:r>
      <w:r w:rsidR="002239D1" w:rsidRPr="00F21603">
        <w:rPr>
          <w:rFonts w:ascii="Arial" w:hAnsi="Arial" w:cs="Arial"/>
          <w:sz w:val="24"/>
          <w:szCs w:val="24"/>
          <w:lang w:val="de-AT"/>
        </w:rPr>
        <w:t>für Marketing und Innovation an der Universität für Bodenkultur Wien</w:t>
      </w:r>
      <w:r w:rsidR="00004C7F" w:rsidRPr="00F21603">
        <w:rPr>
          <w:rFonts w:ascii="Arial" w:hAnsi="Arial" w:cs="Arial"/>
          <w:sz w:val="24"/>
          <w:szCs w:val="24"/>
          <w:lang w:val="de-AT"/>
        </w:rPr>
        <w:t xml:space="preserve">, </w:t>
      </w:r>
      <w:r w:rsidR="0077500B" w:rsidRPr="00F21603">
        <w:rPr>
          <w:rFonts w:ascii="Arial" w:hAnsi="Arial" w:cs="Arial"/>
          <w:sz w:val="24"/>
          <w:szCs w:val="24"/>
          <w:lang w:val="de-AT"/>
        </w:rPr>
        <w:t xml:space="preserve">das </w:t>
      </w:r>
      <w:r w:rsidR="00D970D7">
        <w:rPr>
          <w:rFonts w:ascii="Arial" w:hAnsi="Arial" w:cs="Arial"/>
          <w:sz w:val="24"/>
          <w:szCs w:val="24"/>
          <w:lang w:val="de-AT"/>
        </w:rPr>
        <w:t>Forschungs</w:t>
      </w:r>
      <w:r w:rsidR="00B268F4">
        <w:rPr>
          <w:rFonts w:ascii="Arial" w:hAnsi="Arial" w:cs="Arial"/>
          <w:sz w:val="24"/>
          <w:szCs w:val="24"/>
          <w:lang w:val="de-AT"/>
        </w:rPr>
        <w:t>feld</w:t>
      </w:r>
      <w:r w:rsidR="0077500B" w:rsidRPr="00F21603">
        <w:rPr>
          <w:rFonts w:ascii="Arial" w:hAnsi="Arial" w:cs="Arial"/>
          <w:sz w:val="24"/>
          <w:szCs w:val="24"/>
          <w:lang w:val="de-AT"/>
        </w:rPr>
        <w:t xml:space="preserve"> weiter zu untersuchen.</w:t>
      </w:r>
    </w:p>
    <w:p w14:paraId="4217E305" w14:textId="77777777" w:rsidR="0077500B" w:rsidRPr="00F21603" w:rsidRDefault="0077500B" w:rsidP="00F21603">
      <w:pPr>
        <w:pStyle w:val="Kommentartext"/>
        <w:rPr>
          <w:rFonts w:ascii="Arial" w:hAnsi="Arial" w:cs="Arial"/>
          <w:sz w:val="24"/>
          <w:szCs w:val="24"/>
          <w:lang w:val="de-AT"/>
        </w:rPr>
      </w:pPr>
    </w:p>
    <w:p w14:paraId="293CE0D9" w14:textId="2E579FC9" w:rsidR="00563353" w:rsidRPr="00F21603" w:rsidRDefault="00563353" w:rsidP="00F21603">
      <w:pPr>
        <w:spacing w:after="120"/>
        <w:jc w:val="both"/>
        <w:rPr>
          <w:rFonts w:ascii="Arial" w:hAnsi="Arial" w:cs="Arial"/>
          <w:b/>
        </w:rPr>
      </w:pPr>
      <w:r w:rsidRPr="00F21603">
        <w:rPr>
          <w:rFonts w:ascii="Arial" w:hAnsi="Arial" w:cs="Arial"/>
          <w:b/>
        </w:rPr>
        <w:t>Erheb</w:t>
      </w:r>
      <w:r w:rsidR="00DD7C29" w:rsidRPr="00F21603">
        <w:rPr>
          <w:rFonts w:ascii="Arial" w:hAnsi="Arial" w:cs="Arial"/>
          <w:b/>
        </w:rPr>
        <w:t>ung</w:t>
      </w:r>
      <w:r w:rsidRPr="00F21603">
        <w:rPr>
          <w:rFonts w:ascii="Arial" w:hAnsi="Arial" w:cs="Arial"/>
          <w:b/>
        </w:rPr>
        <w:t xml:space="preserve"> der </w:t>
      </w:r>
      <w:r w:rsidR="006E55A0" w:rsidRPr="00F21603">
        <w:rPr>
          <w:rFonts w:ascii="Arial" w:hAnsi="Arial" w:cs="Arial"/>
          <w:b/>
        </w:rPr>
        <w:t>Daten</w:t>
      </w:r>
    </w:p>
    <w:p w14:paraId="6CAD2130" w14:textId="2A0715DD" w:rsidR="00314A14" w:rsidRPr="00F21603" w:rsidRDefault="00314A14" w:rsidP="00F21603">
      <w:pPr>
        <w:pStyle w:val="Kommentartext"/>
        <w:rPr>
          <w:rFonts w:ascii="Arial" w:eastAsiaTheme="minorHAnsi" w:hAnsi="Arial" w:cs="Arial"/>
          <w:sz w:val="24"/>
          <w:szCs w:val="24"/>
          <w:lang w:val="de-AT"/>
        </w:rPr>
      </w:pPr>
      <w:r w:rsidRPr="00F21603">
        <w:rPr>
          <w:rFonts w:ascii="Arial" w:eastAsiaTheme="minorHAnsi" w:hAnsi="Arial" w:cs="Arial"/>
          <w:sz w:val="24"/>
          <w:szCs w:val="24"/>
          <w:lang w:val="de-AT"/>
        </w:rPr>
        <w:t xml:space="preserve">Um die Unterschiede </w:t>
      </w:r>
      <w:r w:rsidR="009910B0">
        <w:rPr>
          <w:rFonts w:ascii="Arial" w:eastAsiaTheme="minorHAnsi" w:hAnsi="Arial" w:cs="Arial"/>
          <w:sz w:val="24"/>
          <w:szCs w:val="24"/>
          <w:lang w:val="de-AT"/>
        </w:rPr>
        <w:t>der</w:t>
      </w:r>
      <w:r w:rsidRPr="00F21603">
        <w:rPr>
          <w:rFonts w:ascii="Arial" w:eastAsiaTheme="minorHAnsi" w:hAnsi="Arial" w:cs="Arial"/>
          <w:sz w:val="24"/>
          <w:szCs w:val="24"/>
          <w:lang w:val="de-AT"/>
        </w:rPr>
        <w:t xml:space="preserve"> gesunden </w:t>
      </w:r>
      <w:r w:rsidR="009910B0">
        <w:rPr>
          <w:rFonts w:ascii="Arial" w:eastAsiaTheme="minorHAnsi" w:hAnsi="Arial" w:cs="Arial"/>
          <w:sz w:val="24"/>
          <w:szCs w:val="24"/>
          <w:lang w:val="de-AT"/>
        </w:rPr>
        <w:t>sowie der</w:t>
      </w:r>
      <w:r w:rsidRPr="00F21603">
        <w:rPr>
          <w:rFonts w:ascii="Arial" w:eastAsiaTheme="minorHAnsi" w:hAnsi="Arial" w:cs="Arial"/>
          <w:sz w:val="24"/>
          <w:szCs w:val="24"/>
          <w:lang w:val="de-AT"/>
        </w:rPr>
        <w:t xml:space="preserve"> sozialen Essgewohnheiten von amerikanischen und europäischen Individuen und deren Auswirkungen auf Übergewicht und Fettleibigkeit zu </w:t>
      </w:r>
      <w:r w:rsidR="0038036B" w:rsidRPr="00F21603">
        <w:rPr>
          <w:rFonts w:ascii="Arial" w:eastAsiaTheme="minorHAnsi" w:hAnsi="Arial" w:cs="Arial"/>
          <w:sz w:val="24"/>
          <w:szCs w:val="24"/>
          <w:lang w:val="de-AT"/>
        </w:rPr>
        <w:t>untersuchen</w:t>
      </w:r>
      <w:r w:rsidRPr="00F21603">
        <w:rPr>
          <w:rFonts w:ascii="Arial" w:eastAsiaTheme="minorHAnsi" w:hAnsi="Arial" w:cs="Arial"/>
          <w:sz w:val="24"/>
          <w:szCs w:val="24"/>
          <w:lang w:val="de-AT"/>
        </w:rPr>
        <w:t>, wurde in der Masterarbeit eine quantitative Studie mittels eines Online-Fragebogens durchgeführt.</w:t>
      </w:r>
    </w:p>
    <w:p w14:paraId="48DF14F0" w14:textId="289CD1C3" w:rsidR="00314A14" w:rsidRPr="00F21603" w:rsidRDefault="00314A14" w:rsidP="00F21603">
      <w:pPr>
        <w:pStyle w:val="Kommentartext"/>
        <w:rPr>
          <w:rFonts w:ascii="Arial" w:eastAsiaTheme="minorHAnsi" w:hAnsi="Arial" w:cs="Arial"/>
          <w:sz w:val="24"/>
          <w:szCs w:val="24"/>
          <w:lang w:val="de-AT"/>
        </w:rPr>
      </w:pPr>
      <w:r w:rsidRPr="00F21603">
        <w:rPr>
          <w:rFonts w:ascii="Arial" w:eastAsiaTheme="minorHAnsi" w:hAnsi="Arial" w:cs="Arial"/>
          <w:sz w:val="24"/>
          <w:szCs w:val="24"/>
          <w:lang w:val="de-AT"/>
        </w:rPr>
        <w:t xml:space="preserve">Die Umfrage </w:t>
      </w:r>
      <w:r w:rsidR="009B4BF0" w:rsidRPr="00F21603">
        <w:rPr>
          <w:rFonts w:ascii="Arial" w:eastAsiaTheme="minorHAnsi" w:hAnsi="Arial" w:cs="Arial"/>
          <w:sz w:val="24"/>
          <w:szCs w:val="24"/>
          <w:lang w:val="de-AT"/>
        </w:rPr>
        <w:t>beantworteten</w:t>
      </w:r>
      <w:r w:rsidRPr="00F21603">
        <w:rPr>
          <w:rFonts w:ascii="Arial" w:eastAsiaTheme="minorHAnsi" w:hAnsi="Arial" w:cs="Arial"/>
          <w:sz w:val="24"/>
          <w:szCs w:val="24"/>
          <w:lang w:val="de-AT"/>
        </w:rPr>
        <w:t xml:space="preserve"> 222 erwachsene Student</w:t>
      </w:r>
      <w:r w:rsidR="00255A98" w:rsidRPr="00F21603">
        <w:rPr>
          <w:rFonts w:ascii="Arial" w:eastAsiaTheme="minorHAnsi" w:hAnsi="Arial" w:cs="Arial"/>
          <w:sz w:val="24"/>
          <w:szCs w:val="24"/>
          <w:lang w:val="de-AT"/>
        </w:rPr>
        <w:t>*i</w:t>
      </w:r>
      <w:r w:rsidRPr="00F21603">
        <w:rPr>
          <w:rFonts w:ascii="Arial" w:eastAsiaTheme="minorHAnsi" w:hAnsi="Arial" w:cs="Arial"/>
          <w:sz w:val="24"/>
          <w:szCs w:val="24"/>
          <w:lang w:val="de-AT"/>
        </w:rPr>
        <w:t>nne</w:t>
      </w:r>
      <w:r w:rsidR="001547E0" w:rsidRPr="00F21603">
        <w:rPr>
          <w:rFonts w:ascii="Arial" w:eastAsiaTheme="minorHAnsi" w:hAnsi="Arial" w:cs="Arial"/>
          <w:sz w:val="24"/>
          <w:szCs w:val="24"/>
          <w:lang w:val="de-AT"/>
        </w:rPr>
        <w:t>n</w:t>
      </w:r>
      <w:r w:rsidR="004D28DC">
        <w:rPr>
          <w:rFonts w:ascii="Arial" w:eastAsiaTheme="minorHAnsi" w:hAnsi="Arial" w:cs="Arial"/>
          <w:sz w:val="24"/>
          <w:szCs w:val="24"/>
          <w:lang w:val="de-AT"/>
        </w:rPr>
        <w:t xml:space="preserve"> </w:t>
      </w:r>
      <w:r w:rsidR="00611C8E" w:rsidRPr="00F21603">
        <w:rPr>
          <w:rFonts w:ascii="Arial" w:eastAsiaTheme="minorHAnsi" w:hAnsi="Arial" w:cs="Arial"/>
          <w:sz w:val="24"/>
          <w:szCs w:val="24"/>
          <w:lang w:val="de-AT"/>
        </w:rPr>
        <w:t>–</w:t>
      </w:r>
      <w:r w:rsidRPr="00F21603">
        <w:rPr>
          <w:rFonts w:ascii="Arial" w:eastAsiaTheme="minorHAnsi" w:hAnsi="Arial" w:cs="Arial"/>
          <w:sz w:val="24"/>
          <w:szCs w:val="24"/>
          <w:lang w:val="de-AT"/>
        </w:rPr>
        <w:t xml:space="preserve"> 91 Teilnehmer</w:t>
      </w:r>
      <w:r w:rsidR="00657C3E" w:rsidRPr="00F21603">
        <w:rPr>
          <w:rFonts w:ascii="Arial" w:eastAsiaTheme="minorHAnsi" w:hAnsi="Arial" w:cs="Arial"/>
          <w:sz w:val="24"/>
          <w:szCs w:val="24"/>
          <w:lang w:val="de-AT"/>
        </w:rPr>
        <w:t>*i</w:t>
      </w:r>
      <w:r w:rsidRPr="00F21603">
        <w:rPr>
          <w:rFonts w:ascii="Arial" w:eastAsiaTheme="minorHAnsi" w:hAnsi="Arial" w:cs="Arial"/>
          <w:sz w:val="24"/>
          <w:szCs w:val="24"/>
          <w:lang w:val="de-AT"/>
        </w:rPr>
        <w:t>nnen waren US-Amerikaner</w:t>
      </w:r>
      <w:r w:rsidR="006961BC" w:rsidRPr="00F21603">
        <w:rPr>
          <w:rFonts w:ascii="Arial" w:eastAsiaTheme="minorHAnsi" w:hAnsi="Arial" w:cs="Arial"/>
          <w:sz w:val="24"/>
          <w:szCs w:val="24"/>
          <w:lang w:val="de-AT"/>
        </w:rPr>
        <w:t>*i</w:t>
      </w:r>
      <w:r w:rsidRPr="00F21603">
        <w:rPr>
          <w:rFonts w:ascii="Arial" w:eastAsiaTheme="minorHAnsi" w:hAnsi="Arial" w:cs="Arial"/>
          <w:sz w:val="24"/>
          <w:szCs w:val="24"/>
          <w:lang w:val="de-AT"/>
        </w:rPr>
        <w:t xml:space="preserve">nnen </w:t>
      </w:r>
      <w:r w:rsidR="002E0519">
        <w:rPr>
          <w:rFonts w:ascii="Arial" w:eastAsiaTheme="minorHAnsi" w:hAnsi="Arial" w:cs="Arial"/>
          <w:sz w:val="24"/>
          <w:szCs w:val="24"/>
          <w:lang w:val="de-AT"/>
        </w:rPr>
        <w:t xml:space="preserve">und </w:t>
      </w:r>
      <w:r w:rsidRPr="00F21603">
        <w:rPr>
          <w:rFonts w:ascii="Arial" w:eastAsiaTheme="minorHAnsi" w:hAnsi="Arial" w:cs="Arial"/>
          <w:sz w:val="24"/>
          <w:szCs w:val="24"/>
          <w:lang w:val="de-AT"/>
        </w:rPr>
        <w:t>13</w:t>
      </w:r>
      <w:r w:rsidR="00B406B2">
        <w:rPr>
          <w:rFonts w:ascii="Arial" w:eastAsiaTheme="minorHAnsi" w:hAnsi="Arial" w:cs="Arial"/>
          <w:sz w:val="24"/>
          <w:szCs w:val="24"/>
          <w:lang w:val="de-AT"/>
        </w:rPr>
        <w:t>1</w:t>
      </w:r>
      <w:r w:rsidRPr="00F21603">
        <w:rPr>
          <w:rFonts w:ascii="Arial" w:eastAsiaTheme="minorHAnsi" w:hAnsi="Arial" w:cs="Arial"/>
          <w:sz w:val="24"/>
          <w:szCs w:val="24"/>
          <w:lang w:val="de-AT"/>
        </w:rPr>
        <w:t xml:space="preserve"> </w:t>
      </w:r>
      <w:r w:rsidR="0046095E">
        <w:rPr>
          <w:rFonts w:ascii="Arial" w:eastAsiaTheme="minorHAnsi" w:hAnsi="Arial" w:cs="Arial"/>
          <w:sz w:val="24"/>
          <w:szCs w:val="24"/>
          <w:lang w:val="de-AT"/>
        </w:rPr>
        <w:t xml:space="preserve">waren </w:t>
      </w:r>
      <w:r w:rsidRPr="00F21603">
        <w:rPr>
          <w:rFonts w:ascii="Arial" w:eastAsiaTheme="minorHAnsi" w:hAnsi="Arial" w:cs="Arial"/>
          <w:sz w:val="24"/>
          <w:szCs w:val="24"/>
          <w:lang w:val="de-AT"/>
        </w:rPr>
        <w:t>Europäer</w:t>
      </w:r>
      <w:r w:rsidR="000841AD" w:rsidRPr="00F21603">
        <w:rPr>
          <w:rFonts w:ascii="Arial" w:eastAsiaTheme="minorHAnsi" w:hAnsi="Arial" w:cs="Arial"/>
          <w:sz w:val="24"/>
          <w:szCs w:val="24"/>
          <w:lang w:val="de-AT"/>
        </w:rPr>
        <w:t>*i</w:t>
      </w:r>
      <w:r w:rsidRPr="00F21603">
        <w:rPr>
          <w:rFonts w:ascii="Arial" w:eastAsiaTheme="minorHAnsi" w:hAnsi="Arial" w:cs="Arial"/>
          <w:sz w:val="24"/>
          <w:szCs w:val="24"/>
          <w:lang w:val="de-AT"/>
        </w:rPr>
        <w:t>nne</w:t>
      </w:r>
      <w:r w:rsidR="00851992">
        <w:rPr>
          <w:rFonts w:ascii="Arial" w:eastAsiaTheme="minorHAnsi" w:hAnsi="Arial" w:cs="Arial"/>
          <w:sz w:val="24"/>
          <w:szCs w:val="24"/>
          <w:lang w:val="de-AT"/>
        </w:rPr>
        <w:t>n.</w:t>
      </w:r>
      <w:r w:rsidRPr="00F21603">
        <w:rPr>
          <w:rFonts w:ascii="Arial" w:eastAsiaTheme="minorHAnsi" w:hAnsi="Arial" w:cs="Arial"/>
          <w:sz w:val="24"/>
          <w:szCs w:val="24"/>
          <w:lang w:val="de-AT"/>
        </w:rPr>
        <w:t xml:space="preserve"> Der Fragebogen bestand </w:t>
      </w:r>
      <w:r w:rsidR="0068218A">
        <w:rPr>
          <w:rFonts w:ascii="Arial" w:eastAsiaTheme="minorHAnsi" w:hAnsi="Arial" w:cs="Arial"/>
          <w:sz w:val="24"/>
          <w:szCs w:val="24"/>
          <w:lang w:val="de-AT"/>
        </w:rPr>
        <w:t xml:space="preserve">einerseits aus </w:t>
      </w:r>
      <w:r w:rsidR="00422736">
        <w:rPr>
          <w:rFonts w:ascii="Arial" w:eastAsiaTheme="minorHAnsi" w:hAnsi="Arial" w:cs="Arial"/>
          <w:sz w:val="24"/>
          <w:szCs w:val="24"/>
          <w:lang w:val="de-AT"/>
        </w:rPr>
        <w:t>Fragen</w:t>
      </w:r>
      <w:r w:rsidR="00422736" w:rsidRPr="00F21603">
        <w:rPr>
          <w:rFonts w:ascii="Arial" w:eastAsiaTheme="minorHAnsi" w:hAnsi="Arial" w:cs="Arial"/>
          <w:sz w:val="24"/>
          <w:szCs w:val="24"/>
          <w:lang w:val="de-AT"/>
        </w:rPr>
        <w:t xml:space="preserve"> </w:t>
      </w:r>
      <w:r w:rsidR="004273AB">
        <w:rPr>
          <w:rFonts w:ascii="Arial" w:eastAsiaTheme="minorHAnsi" w:hAnsi="Arial" w:cs="Arial"/>
          <w:sz w:val="24"/>
          <w:szCs w:val="24"/>
          <w:lang w:val="de-AT"/>
        </w:rPr>
        <w:t>zur</w:t>
      </w:r>
      <w:r w:rsidRPr="00F21603">
        <w:rPr>
          <w:rFonts w:ascii="Arial" w:eastAsiaTheme="minorHAnsi" w:hAnsi="Arial" w:cs="Arial"/>
          <w:sz w:val="24"/>
          <w:szCs w:val="24"/>
          <w:lang w:val="de-AT"/>
        </w:rPr>
        <w:t xml:space="preserve"> gesunde</w:t>
      </w:r>
      <w:r w:rsidR="004273AB">
        <w:rPr>
          <w:rFonts w:ascii="Arial" w:eastAsiaTheme="minorHAnsi" w:hAnsi="Arial" w:cs="Arial"/>
          <w:sz w:val="24"/>
          <w:szCs w:val="24"/>
          <w:lang w:val="de-AT"/>
        </w:rPr>
        <w:t>n</w:t>
      </w:r>
      <w:r w:rsidRPr="00F21603">
        <w:rPr>
          <w:rFonts w:ascii="Arial" w:eastAsiaTheme="minorHAnsi" w:hAnsi="Arial" w:cs="Arial"/>
          <w:sz w:val="24"/>
          <w:szCs w:val="24"/>
          <w:lang w:val="de-AT"/>
        </w:rPr>
        <w:t xml:space="preserve"> Ernährung, </w:t>
      </w:r>
      <w:r w:rsidR="00F770B9">
        <w:rPr>
          <w:rFonts w:ascii="Arial" w:eastAsiaTheme="minorHAnsi" w:hAnsi="Arial" w:cs="Arial"/>
          <w:sz w:val="24"/>
          <w:szCs w:val="24"/>
          <w:lang w:val="de-AT"/>
        </w:rPr>
        <w:t>in denen</w:t>
      </w:r>
      <w:r w:rsidRPr="00F21603">
        <w:rPr>
          <w:rFonts w:ascii="Arial" w:eastAsiaTheme="minorHAnsi" w:hAnsi="Arial" w:cs="Arial"/>
          <w:sz w:val="24"/>
          <w:szCs w:val="24"/>
          <w:lang w:val="de-AT"/>
        </w:rPr>
        <w:t xml:space="preserve"> die Befragten in drei Verbrauchergruppen kategorisiert w</w:t>
      </w:r>
      <w:r w:rsidR="004729EE">
        <w:rPr>
          <w:rFonts w:ascii="Arial" w:eastAsiaTheme="minorHAnsi" w:hAnsi="Arial" w:cs="Arial"/>
          <w:sz w:val="24"/>
          <w:szCs w:val="24"/>
          <w:lang w:val="de-AT"/>
        </w:rPr>
        <w:t>urden</w:t>
      </w:r>
      <w:r w:rsidR="00F770B9">
        <w:rPr>
          <w:rFonts w:ascii="Arial" w:eastAsiaTheme="minorHAnsi" w:hAnsi="Arial" w:cs="Arial"/>
          <w:sz w:val="24"/>
          <w:szCs w:val="24"/>
          <w:lang w:val="de-AT"/>
        </w:rPr>
        <w:t xml:space="preserve"> und </w:t>
      </w:r>
      <w:r w:rsidR="00422736">
        <w:rPr>
          <w:rFonts w:ascii="Arial" w:eastAsiaTheme="minorHAnsi" w:hAnsi="Arial" w:cs="Arial"/>
          <w:sz w:val="24"/>
          <w:szCs w:val="24"/>
          <w:lang w:val="de-AT"/>
        </w:rPr>
        <w:t>zum anderen</w:t>
      </w:r>
      <w:r w:rsidR="0046389B">
        <w:rPr>
          <w:rFonts w:ascii="Arial" w:eastAsiaTheme="minorHAnsi" w:hAnsi="Arial" w:cs="Arial"/>
          <w:sz w:val="24"/>
          <w:szCs w:val="24"/>
          <w:lang w:val="de-AT"/>
        </w:rPr>
        <w:t xml:space="preserve"> </w:t>
      </w:r>
      <w:r w:rsidR="00F770B9">
        <w:rPr>
          <w:rFonts w:ascii="Arial" w:eastAsiaTheme="minorHAnsi" w:hAnsi="Arial" w:cs="Arial"/>
          <w:sz w:val="24"/>
          <w:szCs w:val="24"/>
          <w:lang w:val="de-AT"/>
        </w:rPr>
        <w:t>aus Fragen</w:t>
      </w:r>
      <w:r w:rsidRPr="00F21603">
        <w:rPr>
          <w:rFonts w:ascii="Arial" w:eastAsiaTheme="minorHAnsi" w:hAnsi="Arial" w:cs="Arial"/>
          <w:sz w:val="24"/>
          <w:szCs w:val="24"/>
          <w:lang w:val="de-AT"/>
        </w:rPr>
        <w:t xml:space="preserve"> </w:t>
      </w:r>
      <w:r w:rsidR="009C46ED">
        <w:rPr>
          <w:rFonts w:ascii="Arial" w:eastAsiaTheme="minorHAnsi" w:hAnsi="Arial" w:cs="Arial"/>
          <w:sz w:val="24"/>
          <w:szCs w:val="24"/>
          <w:lang w:val="de-AT"/>
        </w:rPr>
        <w:t>bezüglich</w:t>
      </w:r>
      <w:r w:rsidRPr="00F21603">
        <w:rPr>
          <w:rFonts w:ascii="Arial" w:eastAsiaTheme="minorHAnsi" w:hAnsi="Arial" w:cs="Arial"/>
          <w:sz w:val="24"/>
          <w:szCs w:val="24"/>
          <w:lang w:val="de-AT"/>
        </w:rPr>
        <w:t xml:space="preserve"> sozialen Essens</w:t>
      </w:r>
      <w:r w:rsidR="00F770B9">
        <w:rPr>
          <w:rFonts w:ascii="Arial" w:eastAsiaTheme="minorHAnsi" w:hAnsi="Arial" w:cs="Arial"/>
          <w:sz w:val="24"/>
          <w:szCs w:val="24"/>
          <w:lang w:val="de-AT"/>
        </w:rPr>
        <w:t xml:space="preserve"> </w:t>
      </w:r>
      <w:r w:rsidR="00F770B9" w:rsidRPr="00F21603">
        <w:rPr>
          <w:rFonts w:ascii="Arial" w:eastAsiaTheme="minorHAnsi" w:hAnsi="Arial" w:cs="Arial"/>
          <w:sz w:val="24"/>
          <w:szCs w:val="24"/>
          <w:lang w:val="de-AT"/>
        </w:rPr>
        <w:t>–</w:t>
      </w:r>
      <w:r w:rsidRPr="00F21603">
        <w:rPr>
          <w:rFonts w:ascii="Arial" w:eastAsiaTheme="minorHAnsi" w:hAnsi="Arial" w:cs="Arial"/>
          <w:sz w:val="24"/>
          <w:szCs w:val="24"/>
          <w:lang w:val="de-AT"/>
        </w:rPr>
        <w:t xml:space="preserve"> d.h. Essen in</w:t>
      </w:r>
      <w:r w:rsidR="00C0397C">
        <w:rPr>
          <w:rFonts w:ascii="Arial" w:eastAsiaTheme="minorHAnsi" w:hAnsi="Arial" w:cs="Arial"/>
          <w:sz w:val="24"/>
          <w:szCs w:val="24"/>
          <w:lang w:val="de-AT"/>
        </w:rPr>
        <w:t xml:space="preserve"> Tischgemeinschaf</w:t>
      </w:r>
      <w:r w:rsidR="00050B9D">
        <w:rPr>
          <w:rFonts w:ascii="Arial" w:eastAsiaTheme="minorHAnsi" w:hAnsi="Arial" w:cs="Arial"/>
          <w:sz w:val="24"/>
          <w:szCs w:val="24"/>
          <w:lang w:val="de-AT"/>
        </w:rPr>
        <w:t>t</w:t>
      </w:r>
      <w:r w:rsidR="00C0397C">
        <w:rPr>
          <w:rFonts w:ascii="Arial" w:eastAsiaTheme="minorHAnsi" w:hAnsi="Arial" w:cs="Arial"/>
          <w:sz w:val="24"/>
          <w:szCs w:val="24"/>
          <w:lang w:val="de-AT"/>
        </w:rPr>
        <w:t>en</w:t>
      </w:r>
      <w:r w:rsidRPr="00F21603">
        <w:rPr>
          <w:rFonts w:ascii="Arial" w:eastAsiaTheme="minorHAnsi" w:hAnsi="Arial" w:cs="Arial"/>
          <w:sz w:val="24"/>
          <w:szCs w:val="24"/>
          <w:lang w:val="de-AT"/>
        </w:rPr>
        <w:t xml:space="preserve">, Kochgewohnheiten, Essgewohnheiten außerhalb des Hauses und </w:t>
      </w:r>
      <w:proofErr w:type="spellStart"/>
      <w:r w:rsidRPr="00F21603">
        <w:rPr>
          <w:rFonts w:ascii="Arial" w:eastAsiaTheme="minorHAnsi" w:hAnsi="Arial" w:cs="Arial"/>
          <w:sz w:val="24"/>
          <w:szCs w:val="24"/>
          <w:lang w:val="de-AT"/>
        </w:rPr>
        <w:t>Snacking</w:t>
      </w:r>
      <w:proofErr w:type="spellEnd"/>
      <w:r w:rsidRPr="00F21603">
        <w:rPr>
          <w:rFonts w:ascii="Arial" w:eastAsiaTheme="minorHAnsi" w:hAnsi="Arial" w:cs="Arial"/>
          <w:sz w:val="24"/>
          <w:szCs w:val="24"/>
          <w:lang w:val="de-AT"/>
        </w:rPr>
        <w:t xml:space="preserve">-Gewohnheiten. Durch die Berechnung des Body-Mass-Index </w:t>
      </w:r>
      <w:r w:rsidR="002C496A">
        <w:rPr>
          <w:rFonts w:ascii="Arial" w:eastAsiaTheme="minorHAnsi" w:hAnsi="Arial" w:cs="Arial"/>
          <w:sz w:val="24"/>
          <w:szCs w:val="24"/>
          <w:lang w:val="de-AT"/>
        </w:rPr>
        <w:t>der</w:t>
      </w:r>
      <w:r w:rsidRPr="00F21603">
        <w:rPr>
          <w:rFonts w:ascii="Arial" w:eastAsiaTheme="minorHAnsi" w:hAnsi="Arial" w:cs="Arial"/>
          <w:sz w:val="24"/>
          <w:szCs w:val="24"/>
          <w:lang w:val="de-AT"/>
        </w:rPr>
        <w:t xml:space="preserve"> Teilnehmer</w:t>
      </w:r>
      <w:r w:rsidR="002C496A">
        <w:rPr>
          <w:rFonts w:ascii="Arial" w:eastAsiaTheme="minorHAnsi" w:hAnsi="Arial" w:cs="Arial"/>
          <w:sz w:val="24"/>
          <w:szCs w:val="24"/>
          <w:lang w:val="de-AT"/>
        </w:rPr>
        <w:t>*innen</w:t>
      </w:r>
      <w:r w:rsidRPr="00F21603">
        <w:rPr>
          <w:rFonts w:ascii="Arial" w:eastAsiaTheme="minorHAnsi" w:hAnsi="Arial" w:cs="Arial"/>
          <w:sz w:val="24"/>
          <w:szCs w:val="24"/>
          <w:lang w:val="de-AT"/>
        </w:rPr>
        <w:t xml:space="preserve"> wurde die Beziehung zwischen Übergewicht </w:t>
      </w:r>
      <w:r w:rsidR="004B7524">
        <w:rPr>
          <w:rFonts w:ascii="Arial" w:eastAsiaTheme="minorHAnsi" w:hAnsi="Arial" w:cs="Arial"/>
          <w:sz w:val="24"/>
          <w:szCs w:val="24"/>
          <w:lang w:val="de-AT"/>
        </w:rPr>
        <w:t>sowie</w:t>
      </w:r>
      <w:r w:rsidRPr="00F21603">
        <w:rPr>
          <w:rFonts w:ascii="Arial" w:eastAsiaTheme="minorHAnsi" w:hAnsi="Arial" w:cs="Arial"/>
          <w:sz w:val="24"/>
          <w:szCs w:val="24"/>
          <w:lang w:val="de-AT"/>
        </w:rPr>
        <w:t xml:space="preserve"> Fettleibigkeit und verschiedenen Essgewohnheiten beobachtet.</w:t>
      </w:r>
    </w:p>
    <w:p w14:paraId="3133279C" w14:textId="77777777" w:rsidR="00314A14" w:rsidRPr="00F21603" w:rsidRDefault="00314A14" w:rsidP="00F21603">
      <w:pPr>
        <w:pStyle w:val="Kommentartext"/>
        <w:rPr>
          <w:rFonts w:ascii="Arial" w:eastAsiaTheme="minorHAnsi" w:hAnsi="Arial" w:cs="Arial"/>
          <w:sz w:val="24"/>
          <w:szCs w:val="24"/>
          <w:lang w:val="de-AT"/>
        </w:rPr>
      </w:pPr>
    </w:p>
    <w:p w14:paraId="67BD2F23" w14:textId="07FA80B3" w:rsidR="00234447" w:rsidRPr="00F21603" w:rsidRDefault="00234447" w:rsidP="00F21603">
      <w:pPr>
        <w:pStyle w:val="Kommentartext"/>
        <w:rPr>
          <w:rFonts w:ascii="Arial" w:hAnsi="Arial" w:cs="Arial"/>
          <w:b/>
          <w:bCs/>
          <w:color w:val="000000" w:themeColor="text1"/>
          <w:sz w:val="24"/>
          <w:szCs w:val="24"/>
          <w:lang w:val="de-AT"/>
        </w:rPr>
      </w:pPr>
      <w:r w:rsidRPr="00F21603">
        <w:rPr>
          <w:rFonts w:ascii="Arial" w:hAnsi="Arial" w:cs="Arial"/>
          <w:b/>
          <w:bCs/>
          <w:color w:val="000000" w:themeColor="text1"/>
          <w:sz w:val="24"/>
          <w:szCs w:val="24"/>
          <w:lang w:val="de-AT"/>
        </w:rPr>
        <w:t>Ergebnisse der Studie</w:t>
      </w:r>
    </w:p>
    <w:p w14:paraId="6A0E8995" w14:textId="5D31B014" w:rsidR="007C7DA8" w:rsidRPr="00F21603" w:rsidRDefault="007C7DA8" w:rsidP="00F21603">
      <w:pPr>
        <w:pStyle w:val="Kommentartext"/>
        <w:rPr>
          <w:rFonts w:ascii="Arial" w:hAnsi="Arial" w:cs="Arial"/>
          <w:color w:val="000000" w:themeColor="text1"/>
          <w:sz w:val="24"/>
          <w:szCs w:val="24"/>
          <w:lang w:val="de-AT"/>
        </w:rPr>
      </w:pPr>
      <w:r w:rsidRPr="00F21603">
        <w:rPr>
          <w:rFonts w:ascii="Arial" w:hAnsi="Arial" w:cs="Arial"/>
          <w:color w:val="000000" w:themeColor="text1"/>
          <w:sz w:val="24"/>
          <w:szCs w:val="24"/>
          <w:lang w:val="de-AT"/>
        </w:rPr>
        <w:t xml:space="preserve">Die </w:t>
      </w:r>
      <w:r w:rsidR="003215AF" w:rsidRPr="00F21603">
        <w:rPr>
          <w:rFonts w:ascii="Arial" w:hAnsi="Arial" w:cs="Arial"/>
          <w:color w:val="000000" w:themeColor="text1"/>
          <w:sz w:val="24"/>
          <w:szCs w:val="24"/>
          <w:lang w:val="de-AT"/>
        </w:rPr>
        <w:t>US-</w:t>
      </w:r>
      <w:r w:rsidRPr="00F21603">
        <w:rPr>
          <w:rFonts w:ascii="Arial" w:hAnsi="Arial" w:cs="Arial"/>
          <w:color w:val="000000" w:themeColor="text1"/>
          <w:sz w:val="24"/>
          <w:szCs w:val="24"/>
          <w:lang w:val="de-AT"/>
        </w:rPr>
        <w:t>Amerikaner</w:t>
      </w:r>
      <w:r w:rsidR="003215AF" w:rsidRPr="00F21603">
        <w:rPr>
          <w:rFonts w:ascii="Arial" w:hAnsi="Arial" w:cs="Arial"/>
          <w:color w:val="000000" w:themeColor="text1"/>
          <w:sz w:val="24"/>
          <w:szCs w:val="24"/>
          <w:lang w:val="de-AT"/>
        </w:rPr>
        <w:t>*innen</w:t>
      </w:r>
      <w:r w:rsidRPr="00F21603">
        <w:rPr>
          <w:rFonts w:ascii="Arial" w:hAnsi="Arial" w:cs="Arial"/>
          <w:color w:val="000000" w:themeColor="text1"/>
          <w:sz w:val="24"/>
          <w:szCs w:val="24"/>
          <w:lang w:val="de-AT"/>
        </w:rPr>
        <w:t xml:space="preserve"> waren kontrollierter und resignierter als die </w:t>
      </w:r>
      <w:r w:rsidR="00CC304D" w:rsidRPr="00F21603">
        <w:rPr>
          <w:rFonts w:ascii="Arial" w:eastAsiaTheme="minorHAnsi" w:hAnsi="Arial" w:cs="Arial"/>
          <w:sz w:val="24"/>
          <w:szCs w:val="24"/>
          <w:lang w:val="de-AT"/>
        </w:rPr>
        <w:t>Europäer*innen</w:t>
      </w:r>
      <w:r w:rsidRPr="00F21603">
        <w:rPr>
          <w:rFonts w:ascii="Arial" w:hAnsi="Arial" w:cs="Arial"/>
          <w:color w:val="000000" w:themeColor="text1"/>
          <w:sz w:val="24"/>
          <w:szCs w:val="24"/>
          <w:lang w:val="de-AT"/>
        </w:rPr>
        <w:t xml:space="preserve">, während die </w:t>
      </w:r>
      <w:r w:rsidR="00B862F8" w:rsidRPr="00F21603">
        <w:rPr>
          <w:rFonts w:ascii="Arial" w:eastAsiaTheme="minorHAnsi" w:hAnsi="Arial" w:cs="Arial"/>
          <w:sz w:val="24"/>
          <w:szCs w:val="24"/>
          <w:lang w:val="de-AT"/>
        </w:rPr>
        <w:t xml:space="preserve">Europäer*innen </w:t>
      </w:r>
      <w:r w:rsidRPr="00F21603">
        <w:rPr>
          <w:rFonts w:ascii="Arial" w:hAnsi="Arial" w:cs="Arial"/>
          <w:color w:val="000000" w:themeColor="text1"/>
          <w:sz w:val="24"/>
          <w:szCs w:val="24"/>
          <w:lang w:val="de-AT"/>
        </w:rPr>
        <w:t>mehr</w:t>
      </w:r>
      <w:r w:rsidR="00092F0F">
        <w:rPr>
          <w:rFonts w:ascii="Arial" w:hAnsi="Arial" w:cs="Arial"/>
          <w:color w:val="000000" w:themeColor="text1"/>
          <w:sz w:val="24"/>
          <w:szCs w:val="24"/>
          <w:lang w:val="de-AT"/>
        </w:rPr>
        <w:t>heitlich</w:t>
      </w:r>
      <w:r w:rsidRPr="00F21603">
        <w:rPr>
          <w:rFonts w:ascii="Arial" w:hAnsi="Arial" w:cs="Arial"/>
          <w:color w:val="000000" w:themeColor="text1"/>
          <w:sz w:val="24"/>
          <w:szCs w:val="24"/>
          <w:lang w:val="de-AT"/>
        </w:rPr>
        <w:t xml:space="preserve"> </w:t>
      </w:r>
      <w:r w:rsidR="00243550">
        <w:rPr>
          <w:rFonts w:ascii="Arial" w:hAnsi="Arial" w:cs="Arial"/>
          <w:color w:val="000000" w:themeColor="text1"/>
          <w:sz w:val="24"/>
          <w:szCs w:val="24"/>
          <w:lang w:val="de-AT"/>
        </w:rPr>
        <w:t>gewöhnliche</w:t>
      </w:r>
      <w:r w:rsidRPr="00F21603">
        <w:rPr>
          <w:rFonts w:ascii="Arial" w:hAnsi="Arial" w:cs="Arial"/>
          <w:color w:val="000000" w:themeColor="text1"/>
          <w:sz w:val="24"/>
          <w:szCs w:val="24"/>
          <w:lang w:val="de-AT"/>
        </w:rPr>
        <w:t xml:space="preserve"> </w:t>
      </w:r>
      <w:r w:rsidR="00243550">
        <w:rPr>
          <w:rFonts w:ascii="Arial" w:hAnsi="Arial" w:cs="Arial"/>
          <w:color w:val="000000" w:themeColor="text1"/>
          <w:sz w:val="24"/>
          <w:szCs w:val="24"/>
          <w:lang w:val="de-AT"/>
        </w:rPr>
        <w:t>Essverhalten</w:t>
      </w:r>
      <w:r w:rsidRPr="00F21603">
        <w:rPr>
          <w:rFonts w:ascii="Arial" w:hAnsi="Arial" w:cs="Arial"/>
          <w:color w:val="000000" w:themeColor="text1"/>
          <w:sz w:val="24"/>
          <w:szCs w:val="24"/>
          <w:lang w:val="de-AT"/>
        </w:rPr>
        <w:t xml:space="preserve"> zeigten. Die meisten </w:t>
      </w:r>
      <w:r w:rsidR="003215AF" w:rsidRPr="00F21603">
        <w:rPr>
          <w:rFonts w:ascii="Arial" w:hAnsi="Arial" w:cs="Arial"/>
          <w:color w:val="000000" w:themeColor="text1"/>
          <w:sz w:val="24"/>
          <w:szCs w:val="24"/>
          <w:lang w:val="de-AT"/>
        </w:rPr>
        <w:t>US-Amerikaner*innen</w:t>
      </w:r>
      <w:r w:rsidRPr="00F21603">
        <w:rPr>
          <w:rFonts w:ascii="Arial" w:hAnsi="Arial" w:cs="Arial"/>
          <w:color w:val="000000" w:themeColor="text1"/>
          <w:sz w:val="24"/>
          <w:szCs w:val="24"/>
          <w:lang w:val="de-AT"/>
        </w:rPr>
        <w:t xml:space="preserve"> waren </w:t>
      </w:r>
      <w:r w:rsidR="00964B26">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Pragmatiker</w:t>
      </w:r>
      <w:r w:rsidR="00964B26">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 xml:space="preserve"> (36,67%) und die meisten </w:t>
      </w:r>
      <w:r w:rsidR="00B862F8" w:rsidRPr="00F21603">
        <w:rPr>
          <w:rFonts w:ascii="Arial" w:eastAsiaTheme="minorHAnsi" w:hAnsi="Arial" w:cs="Arial"/>
          <w:sz w:val="24"/>
          <w:szCs w:val="24"/>
          <w:lang w:val="de-AT"/>
        </w:rPr>
        <w:t xml:space="preserve">Europäer*innen </w:t>
      </w:r>
      <w:r w:rsidR="00A75D20">
        <w:rPr>
          <w:rFonts w:ascii="Arial" w:hAnsi="Arial" w:cs="Arial"/>
          <w:color w:val="000000" w:themeColor="text1"/>
          <w:sz w:val="24"/>
          <w:szCs w:val="24"/>
          <w:lang w:val="de-AT"/>
        </w:rPr>
        <w:t xml:space="preserve">gehörten zu </w:t>
      </w:r>
      <w:r w:rsidR="00A75D20">
        <w:rPr>
          <w:rFonts w:ascii="Arial" w:hAnsi="Arial" w:cs="Arial"/>
          <w:color w:val="000000" w:themeColor="text1"/>
          <w:sz w:val="24"/>
          <w:szCs w:val="24"/>
          <w:lang w:val="de-AT"/>
        </w:rPr>
        <w:lastRenderedPageBreak/>
        <w:t>de</w:t>
      </w:r>
      <w:r w:rsidR="009C526D">
        <w:rPr>
          <w:rFonts w:ascii="Arial" w:hAnsi="Arial" w:cs="Arial"/>
          <w:color w:val="000000" w:themeColor="text1"/>
          <w:sz w:val="24"/>
          <w:szCs w:val="24"/>
          <w:lang w:val="de-AT"/>
        </w:rPr>
        <w:t>r Gruppe der</w:t>
      </w:r>
      <w:r w:rsidR="00A75D20">
        <w:rPr>
          <w:rFonts w:ascii="Arial" w:hAnsi="Arial" w:cs="Arial"/>
          <w:color w:val="000000" w:themeColor="text1"/>
          <w:sz w:val="24"/>
          <w:szCs w:val="24"/>
          <w:lang w:val="de-AT"/>
        </w:rPr>
        <w:t xml:space="preserve"> </w:t>
      </w:r>
      <w:r w:rsidR="00D07DD8">
        <w:rPr>
          <w:rFonts w:ascii="Arial" w:hAnsi="Arial" w:cs="Arial"/>
          <w:sz w:val="24"/>
          <w:szCs w:val="24"/>
          <w:lang w:val="de-AT"/>
        </w:rPr>
        <w:t>„Durchschnittlichen</w:t>
      </w:r>
      <w:r w:rsidR="00D07DD8">
        <w:rPr>
          <w:rFonts w:ascii="Arial" w:hAnsi="Arial" w:cs="Arial"/>
          <w:color w:val="000000" w:themeColor="text1"/>
          <w:sz w:val="24"/>
          <w:szCs w:val="24"/>
          <w:lang w:val="de-AT"/>
        </w:rPr>
        <w:t xml:space="preserve">“ </w:t>
      </w:r>
      <w:r w:rsidRPr="00F21603">
        <w:rPr>
          <w:rFonts w:ascii="Arial" w:hAnsi="Arial" w:cs="Arial"/>
          <w:color w:val="000000" w:themeColor="text1"/>
          <w:sz w:val="24"/>
          <w:szCs w:val="24"/>
          <w:lang w:val="de-AT"/>
        </w:rPr>
        <w:t>(42,64%).</w:t>
      </w:r>
    </w:p>
    <w:p w14:paraId="6CF2C3AD" w14:textId="173B2BF6" w:rsidR="007C7DA8" w:rsidRPr="00F21603" w:rsidRDefault="007C7DA8" w:rsidP="00F21603">
      <w:pPr>
        <w:pStyle w:val="Kommentartext"/>
        <w:rPr>
          <w:rFonts w:ascii="Arial" w:hAnsi="Arial" w:cs="Arial"/>
          <w:color w:val="000000" w:themeColor="text1"/>
          <w:sz w:val="24"/>
          <w:szCs w:val="24"/>
          <w:lang w:val="de-AT"/>
        </w:rPr>
      </w:pPr>
      <w:r w:rsidRPr="00F21603">
        <w:rPr>
          <w:rFonts w:ascii="Arial" w:hAnsi="Arial" w:cs="Arial"/>
          <w:color w:val="000000" w:themeColor="text1"/>
          <w:sz w:val="24"/>
          <w:szCs w:val="24"/>
          <w:lang w:val="de-AT"/>
        </w:rPr>
        <w:t xml:space="preserve">42,67% der </w:t>
      </w:r>
      <w:r w:rsidR="00FE5E1B">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Idealisten</w:t>
      </w:r>
      <w:r w:rsidR="00FE5E1B">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 xml:space="preserve"> waren übergewichtig</w:t>
      </w:r>
      <w:r w:rsidR="00A230C8">
        <w:rPr>
          <w:rFonts w:ascii="Arial" w:hAnsi="Arial" w:cs="Arial"/>
          <w:color w:val="000000" w:themeColor="text1"/>
          <w:sz w:val="24"/>
          <w:szCs w:val="24"/>
          <w:lang w:val="de-AT"/>
        </w:rPr>
        <w:t xml:space="preserve"> und </w:t>
      </w:r>
      <w:r w:rsidRPr="00F21603">
        <w:rPr>
          <w:rFonts w:ascii="Arial" w:hAnsi="Arial" w:cs="Arial"/>
          <w:color w:val="000000" w:themeColor="text1"/>
          <w:sz w:val="24"/>
          <w:szCs w:val="24"/>
          <w:lang w:val="de-AT"/>
        </w:rPr>
        <w:t xml:space="preserve">fettleibig, während </w:t>
      </w:r>
      <w:r w:rsidR="004F4CD2">
        <w:rPr>
          <w:rFonts w:ascii="Arial" w:hAnsi="Arial" w:cs="Arial"/>
          <w:color w:val="000000" w:themeColor="text1"/>
          <w:sz w:val="24"/>
          <w:szCs w:val="24"/>
          <w:lang w:val="de-AT"/>
        </w:rPr>
        <w:t xml:space="preserve">lediglich </w:t>
      </w:r>
      <w:r w:rsidRPr="00F21603">
        <w:rPr>
          <w:rFonts w:ascii="Arial" w:hAnsi="Arial" w:cs="Arial"/>
          <w:color w:val="000000" w:themeColor="text1"/>
          <w:sz w:val="24"/>
          <w:szCs w:val="24"/>
          <w:lang w:val="de-AT"/>
        </w:rPr>
        <w:t xml:space="preserve">36,21% der </w:t>
      </w:r>
      <w:r w:rsidR="00A230C8">
        <w:rPr>
          <w:rFonts w:ascii="Arial" w:hAnsi="Arial" w:cs="Arial"/>
          <w:color w:val="000000" w:themeColor="text1"/>
          <w:sz w:val="24"/>
          <w:szCs w:val="24"/>
          <w:lang w:val="de-AT"/>
        </w:rPr>
        <w:t>„</w:t>
      </w:r>
      <w:r w:rsidR="00FB3638" w:rsidRPr="00F21603">
        <w:rPr>
          <w:rFonts w:ascii="Arial" w:hAnsi="Arial" w:cs="Arial"/>
          <w:color w:val="000000" w:themeColor="text1"/>
          <w:sz w:val="24"/>
          <w:szCs w:val="24"/>
          <w:lang w:val="de-AT"/>
        </w:rPr>
        <w:t>Pragmatiker</w:t>
      </w:r>
      <w:r w:rsidR="00FB3638">
        <w:rPr>
          <w:rFonts w:ascii="Arial" w:hAnsi="Arial" w:cs="Arial"/>
          <w:color w:val="000000" w:themeColor="text1"/>
          <w:sz w:val="24"/>
          <w:szCs w:val="24"/>
          <w:lang w:val="de-AT"/>
        </w:rPr>
        <w:t>“ übergewichtig</w:t>
      </w:r>
      <w:r w:rsidR="00A230C8">
        <w:rPr>
          <w:rFonts w:ascii="Arial" w:hAnsi="Arial" w:cs="Arial"/>
          <w:color w:val="000000" w:themeColor="text1"/>
          <w:sz w:val="24"/>
          <w:szCs w:val="24"/>
          <w:lang w:val="de-AT"/>
        </w:rPr>
        <w:t xml:space="preserve"> und </w:t>
      </w:r>
      <w:r w:rsidRPr="00F21603">
        <w:rPr>
          <w:rFonts w:ascii="Arial" w:hAnsi="Arial" w:cs="Arial"/>
          <w:color w:val="000000" w:themeColor="text1"/>
          <w:sz w:val="24"/>
          <w:szCs w:val="24"/>
          <w:lang w:val="de-AT"/>
        </w:rPr>
        <w:t xml:space="preserve">fettleibig waren. </w:t>
      </w:r>
      <w:r w:rsidR="007F1071">
        <w:rPr>
          <w:rFonts w:ascii="Arial" w:hAnsi="Arial" w:cs="Arial"/>
          <w:color w:val="000000" w:themeColor="text1"/>
          <w:sz w:val="24"/>
          <w:szCs w:val="24"/>
          <w:lang w:val="de-AT"/>
        </w:rPr>
        <w:t xml:space="preserve">Außerdem </w:t>
      </w:r>
      <w:r w:rsidRPr="00F21603">
        <w:rPr>
          <w:rFonts w:ascii="Arial" w:hAnsi="Arial" w:cs="Arial"/>
          <w:color w:val="000000" w:themeColor="text1"/>
          <w:sz w:val="24"/>
          <w:szCs w:val="24"/>
          <w:lang w:val="de-AT"/>
        </w:rPr>
        <w:t xml:space="preserve">hatten die </w:t>
      </w:r>
      <w:r w:rsidR="00FB3638">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Idealisten</w:t>
      </w:r>
      <w:r w:rsidR="00FB3638">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 xml:space="preserve"> (24,90)</w:t>
      </w:r>
      <w:r w:rsidR="00065B9E">
        <w:rPr>
          <w:rFonts w:ascii="Arial" w:hAnsi="Arial" w:cs="Arial"/>
          <w:color w:val="000000" w:themeColor="text1"/>
          <w:sz w:val="24"/>
          <w:szCs w:val="24"/>
          <w:lang w:val="de-AT"/>
        </w:rPr>
        <w:t xml:space="preserve"> </w:t>
      </w:r>
      <w:r w:rsidRPr="00F21603">
        <w:rPr>
          <w:rFonts w:ascii="Arial" w:hAnsi="Arial" w:cs="Arial"/>
          <w:color w:val="000000" w:themeColor="text1"/>
          <w:sz w:val="24"/>
          <w:szCs w:val="24"/>
          <w:lang w:val="de-AT"/>
        </w:rPr>
        <w:t xml:space="preserve">einen höheren BMI-Durchschnitt als </w:t>
      </w:r>
      <w:r w:rsidR="003F6FD7">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Pragmatiker</w:t>
      </w:r>
      <w:r w:rsidR="003F6FD7">
        <w:rPr>
          <w:rFonts w:ascii="Arial" w:hAnsi="Arial" w:cs="Arial"/>
          <w:color w:val="000000" w:themeColor="text1"/>
          <w:sz w:val="24"/>
          <w:szCs w:val="24"/>
          <w:lang w:val="de-AT"/>
        </w:rPr>
        <w:t>“</w:t>
      </w:r>
      <w:r w:rsidRPr="00F21603">
        <w:rPr>
          <w:rFonts w:ascii="Arial" w:hAnsi="Arial" w:cs="Arial"/>
          <w:color w:val="000000" w:themeColor="text1"/>
          <w:sz w:val="24"/>
          <w:szCs w:val="24"/>
          <w:lang w:val="de-AT"/>
        </w:rPr>
        <w:t xml:space="preserve"> (23,38).</w:t>
      </w:r>
    </w:p>
    <w:p w14:paraId="3849C7B9" w14:textId="5AAF1047" w:rsidR="007C7DA8" w:rsidRPr="00F21603" w:rsidRDefault="00851B9E" w:rsidP="00F21603">
      <w:pPr>
        <w:pStyle w:val="Kommentartext"/>
        <w:rPr>
          <w:rFonts w:ascii="Arial" w:hAnsi="Arial" w:cs="Arial"/>
          <w:color w:val="000000" w:themeColor="text1"/>
          <w:sz w:val="24"/>
          <w:szCs w:val="24"/>
          <w:lang w:val="de-AT"/>
        </w:rPr>
      </w:pPr>
      <w:r>
        <w:rPr>
          <w:rFonts w:ascii="Arial" w:hAnsi="Arial" w:cs="Arial"/>
          <w:color w:val="000000" w:themeColor="text1"/>
          <w:sz w:val="24"/>
          <w:szCs w:val="24"/>
          <w:lang w:val="de-AT"/>
        </w:rPr>
        <w:t>In Bezug auf d</w:t>
      </w:r>
      <w:r w:rsidR="004F37B7">
        <w:rPr>
          <w:rFonts w:ascii="Arial" w:hAnsi="Arial" w:cs="Arial"/>
          <w:color w:val="000000" w:themeColor="text1"/>
          <w:sz w:val="24"/>
          <w:szCs w:val="24"/>
          <w:lang w:val="de-AT"/>
        </w:rPr>
        <w:t>ie</w:t>
      </w:r>
      <w:r w:rsidR="007C7DA8" w:rsidRPr="00F21603">
        <w:rPr>
          <w:rFonts w:ascii="Arial" w:hAnsi="Arial" w:cs="Arial"/>
          <w:color w:val="000000" w:themeColor="text1"/>
          <w:sz w:val="24"/>
          <w:szCs w:val="24"/>
          <w:lang w:val="de-AT"/>
        </w:rPr>
        <w:t xml:space="preserve"> sozialen Essgewohnheiten </w:t>
      </w:r>
      <w:r w:rsidR="00216815">
        <w:rPr>
          <w:rFonts w:ascii="Arial" w:hAnsi="Arial" w:cs="Arial"/>
          <w:color w:val="000000" w:themeColor="text1"/>
          <w:sz w:val="24"/>
          <w:szCs w:val="24"/>
          <w:lang w:val="de-AT"/>
        </w:rPr>
        <w:t>haben die Untersuchungen gezeigt</w:t>
      </w:r>
      <w:r w:rsidR="007C7DA8" w:rsidRPr="00F21603">
        <w:rPr>
          <w:rFonts w:ascii="Arial" w:hAnsi="Arial" w:cs="Arial"/>
          <w:color w:val="000000" w:themeColor="text1"/>
          <w:sz w:val="24"/>
          <w:szCs w:val="24"/>
          <w:lang w:val="de-AT"/>
        </w:rPr>
        <w:t xml:space="preserve">, dass </w:t>
      </w:r>
      <w:r w:rsidR="00F83E43">
        <w:rPr>
          <w:rFonts w:ascii="Arial" w:hAnsi="Arial" w:cs="Arial"/>
          <w:color w:val="000000" w:themeColor="text1"/>
          <w:sz w:val="24"/>
          <w:szCs w:val="24"/>
          <w:lang w:val="de-AT"/>
        </w:rPr>
        <w:t xml:space="preserve">sich </w:t>
      </w:r>
      <w:r w:rsidR="00B862F8" w:rsidRPr="00F21603">
        <w:rPr>
          <w:rFonts w:ascii="Arial" w:eastAsiaTheme="minorHAnsi" w:hAnsi="Arial" w:cs="Arial"/>
          <w:sz w:val="24"/>
          <w:szCs w:val="24"/>
          <w:lang w:val="de-AT"/>
        </w:rPr>
        <w:t xml:space="preserve">Europäer*innen </w:t>
      </w:r>
      <w:r w:rsidR="007C7DA8" w:rsidRPr="00F21603">
        <w:rPr>
          <w:rFonts w:ascii="Arial" w:hAnsi="Arial" w:cs="Arial"/>
          <w:color w:val="000000" w:themeColor="text1"/>
          <w:sz w:val="24"/>
          <w:szCs w:val="24"/>
          <w:lang w:val="de-AT"/>
        </w:rPr>
        <w:t xml:space="preserve">sozialer als </w:t>
      </w:r>
      <w:r w:rsidR="003215AF" w:rsidRPr="00F21603">
        <w:rPr>
          <w:rFonts w:ascii="Arial" w:hAnsi="Arial" w:cs="Arial"/>
          <w:color w:val="000000" w:themeColor="text1"/>
          <w:sz w:val="24"/>
          <w:szCs w:val="24"/>
          <w:lang w:val="de-AT"/>
        </w:rPr>
        <w:t>US-Amerikaner*innen</w:t>
      </w:r>
      <w:r w:rsidR="007C7DA8" w:rsidRPr="00F21603">
        <w:rPr>
          <w:rFonts w:ascii="Arial" w:hAnsi="Arial" w:cs="Arial"/>
          <w:color w:val="000000" w:themeColor="text1"/>
          <w:sz w:val="24"/>
          <w:szCs w:val="24"/>
          <w:lang w:val="de-AT"/>
        </w:rPr>
        <w:t xml:space="preserve"> </w:t>
      </w:r>
      <w:r w:rsidR="00F83E43">
        <w:rPr>
          <w:rFonts w:ascii="Arial" w:hAnsi="Arial" w:cs="Arial"/>
          <w:color w:val="000000" w:themeColor="text1"/>
          <w:sz w:val="24"/>
          <w:szCs w:val="24"/>
          <w:lang w:val="de-AT"/>
        </w:rPr>
        <w:t>ernähren</w:t>
      </w:r>
      <w:r w:rsidR="007C7DA8" w:rsidRPr="00F21603">
        <w:rPr>
          <w:rFonts w:ascii="Arial" w:hAnsi="Arial" w:cs="Arial"/>
          <w:color w:val="000000" w:themeColor="text1"/>
          <w:sz w:val="24"/>
          <w:szCs w:val="24"/>
          <w:lang w:val="de-AT"/>
        </w:rPr>
        <w:t>. Sie gen</w:t>
      </w:r>
      <w:r w:rsidR="00B14426">
        <w:rPr>
          <w:rFonts w:ascii="Arial" w:hAnsi="Arial" w:cs="Arial"/>
          <w:color w:val="000000" w:themeColor="text1"/>
          <w:sz w:val="24"/>
          <w:szCs w:val="24"/>
          <w:lang w:val="de-AT"/>
        </w:rPr>
        <w:t>ießen</w:t>
      </w:r>
      <w:r w:rsidR="007C7DA8" w:rsidRPr="00F21603">
        <w:rPr>
          <w:rFonts w:ascii="Arial" w:hAnsi="Arial" w:cs="Arial"/>
          <w:color w:val="000000" w:themeColor="text1"/>
          <w:sz w:val="24"/>
          <w:szCs w:val="24"/>
          <w:lang w:val="de-AT"/>
        </w:rPr>
        <w:t xml:space="preserve"> d</w:t>
      </w:r>
      <w:r w:rsidR="0019139E">
        <w:rPr>
          <w:rFonts w:ascii="Arial" w:hAnsi="Arial" w:cs="Arial"/>
          <w:color w:val="000000" w:themeColor="text1"/>
          <w:sz w:val="24"/>
          <w:szCs w:val="24"/>
          <w:lang w:val="de-AT"/>
        </w:rPr>
        <w:t>ie</w:t>
      </w:r>
      <w:r w:rsidR="007C7DA8" w:rsidRPr="00F21603">
        <w:rPr>
          <w:rFonts w:ascii="Arial" w:hAnsi="Arial" w:cs="Arial"/>
          <w:color w:val="000000" w:themeColor="text1"/>
          <w:sz w:val="24"/>
          <w:szCs w:val="24"/>
          <w:lang w:val="de-AT"/>
        </w:rPr>
        <w:t xml:space="preserve"> geselligen und genussvollen Aspekt</w:t>
      </w:r>
      <w:r w:rsidR="0019139E">
        <w:rPr>
          <w:rFonts w:ascii="Arial" w:hAnsi="Arial" w:cs="Arial"/>
          <w:color w:val="000000" w:themeColor="text1"/>
          <w:sz w:val="24"/>
          <w:szCs w:val="24"/>
          <w:lang w:val="de-AT"/>
        </w:rPr>
        <w:t>e</w:t>
      </w:r>
      <w:r w:rsidR="007C7DA8" w:rsidRPr="00F21603">
        <w:rPr>
          <w:rFonts w:ascii="Arial" w:hAnsi="Arial" w:cs="Arial"/>
          <w:color w:val="000000" w:themeColor="text1"/>
          <w:sz w:val="24"/>
          <w:szCs w:val="24"/>
          <w:lang w:val="de-AT"/>
        </w:rPr>
        <w:t xml:space="preserve"> </w:t>
      </w:r>
      <w:r w:rsidR="006C496C">
        <w:rPr>
          <w:rFonts w:ascii="Arial" w:hAnsi="Arial" w:cs="Arial"/>
          <w:color w:val="000000" w:themeColor="text1"/>
          <w:sz w:val="24"/>
          <w:szCs w:val="24"/>
          <w:lang w:val="de-AT"/>
        </w:rPr>
        <w:t xml:space="preserve">beim </w:t>
      </w:r>
      <w:r w:rsidR="007C7DA8" w:rsidRPr="00F21603">
        <w:rPr>
          <w:rFonts w:ascii="Arial" w:hAnsi="Arial" w:cs="Arial"/>
          <w:color w:val="000000" w:themeColor="text1"/>
          <w:sz w:val="24"/>
          <w:szCs w:val="24"/>
          <w:lang w:val="de-AT"/>
        </w:rPr>
        <w:t>Essen</w:t>
      </w:r>
      <w:r w:rsidR="00BB0BB5">
        <w:rPr>
          <w:rFonts w:ascii="Arial" w:hAnsi="Arial" w:cs="Arial"/>
          <w:color w:val="000000" w:themeColor="text1"/>
          <w:sz w:val="24"/>
          <w:szCs w:val="24"/>
          <w:lang w:val="de-AT"/>
        </w:rPr>
        <w:t>.</w:t>
      </w:r>
      <w:r w:rsidR="007C7DA8" w:rsidRPr="00F21603">
        <w:rPr>
          <w:rFonts w:ascii="Arial" w:hAnsi="Arial" w:cs="Arial"/>
          <w:color w:val="000000" w:themeColor="text1"/>
          <w:sz w:val="24"/>
          <w:szCs w:val="24"/>
          <w:lang w:val="de-AT"/>
        </w:rPr>
        <w:t xml:space="preserve"> </w:t>
      </w:r>
      <w:r w:rsidR="00BB0BB5">
        <w:rPr>
          <w:rFonts w:ascii="Arial" w:hAnsi="Arial" w:cs="Arial"/>
          <w:color w:val="000000" w:themeColor="text1"/>
          <w:sz w:val="24"/>
          <w:szCs w:val="24"/>
          <w:lang w:val="de-AT"/>
        </w:rPr>
        <w:t>I</w:t>
      </w:r>
      <w:r w:rsidR="007C7DA8" w:rsidRPr="00F21603">
        <w:rPr>
          <w:rFonts w:ascii="Arial" w:hAnsi="Arial" w:cs="Arial"/>
          <w:color w:val="000000" w:themeColor="text1"/>
          <w:sz w:val="24"/>
          <w:szCs w:val="24"/>
          <w:lang w:val="de-AT"/>
        </w:rPr>
        <w:t>hre Kindhei</w:t>
      </w:r>
      <w:r w:rsidR="00516117">
        <w:rPr>
          <w:rFonts w:ascii="Arial" w:hAnsi="Arial" w:cs="Arial"/>
          <w:color w:val="000000" w:themeColor="text1"/>
          <w:sz w:val="24"/>
          <w:szCs w:val="24"/>
          <w:lang w:val="de-AT"/>
        </w:rPr>
        <w:t>t besteht</w:t>
      </w:r>
      <w:r w:rsidR="007C7DA8" w:rsidRPr="00F21603">
        <w:rPr>
          <w:rFonts w:ascii="Arial" w:hAnsi="Arial" w:cs="Arial"/>
          <w:color w:val="000000" w:themeColor="text1"/>
          <w:sz w:val="24"/>
          <w:szCs w:val="24"/>
          <w:lang w:val="de-AT"/>
        </w:rPr>
        <w:t xml:space="preserve"> aus mehr</w:t>
      </w:r>
      <w:r w:rsidR="0052551C">
        <w:rPr>
          <w:rFonts w:ascii="Arial" w:hAnsi="Arial" w:cs="Arial"/>
          <w:color w:val="000000" w:themeColor="text1"/>
          <w:sz w:val="24"/>
          <w:szCs w:val="24"/>
          <w:lang w:val="de-AT"/>
        </w:rPr>
        <w:t xml:space="preserve"> </w:t>
      </w:r>
      <w:r w:rsidR="007C7DA8" w:rsidRPr="00F21603">
        <w:rPr>
          <w:rFonts w:ascii="Arial" w:hAnsi="Arial" w:cs="Arial"/>
          <w:color w:val="000000" w:themeColor="text1"/>
          <w:sz w:val="24"/>
          <w:szCs w:val="24"/>
          <w:lang w:val="de-AT"/>
        </w:rPr>
        <w:t>gemeinsamen Ess</w:t>
      </w:r>
      <w:r w:rsidR="000C1F9F">
        <w:rPr>
          <w:rFonts w:ascii="Arial" w:hAnsi="Arial" w:cs="Arial"/>
          <w:color w:val="000000" w:themeColor="text1"/>
          <w:sz w:val="24"/>
          <w:szCs w:val="24"/>
          <w:lang w:val="de-AT"/>
        </w:rPr>
        <w:t>- und Koch</w:t>
      </w:r>
      <w:r w:rsidR="007C7DA8" w:rsidRPr="00F21603">
        <w:rPr>
          <w:rFonts w:ascii="Arial" w:hAnsi="Arial" w:cs="Arial"/>
          <w:color w:val="000000" w:themeColor="text1"/>
          <w:sz w:val="24"/>
          <w:szCs w:val="24"/>
          <w:lang w:val="de-AT"/>
        </w:rPr>
        <w:t xml:space="preserve">aktivitäten als die der </w:t>
      </w:r>
      <w:r w:rsidR="003215AF" w:rsidRPr="00F21603">
        <w:rPr>
          <w:rFonts w:ascii="Arial" w:hAnsi="Arial" w:cs="Arial"/>
          <w:color w:val="000000" w:themeColor="text1"/>
          <w:sz w:val="24"/>
          <w:szCs w:val="24"/>
          <w:lang w:val="de-AT"/>
        </w:rPr>
        <w:t xml:space="preserve">US-Amerikaner*innen. </w:t>
      </w:r>
      <w:r w:rsidR="007C7DA8" w:rsidRPr="00F21603">
        <w:rPr>
          <w:rFonts w:ascii="Arial" w:hAnsi="Arial" w:cs="Arial"/>
          <w:color w:val="000000" w:themeColor="text1"/>
          <w:sz w:val="24"/>
          <w:szCs w:val="24"/>
          <w:lang w:val="de-AT"/>
        </w:rPr>
        <w:t>Außerdem ha</w:t>
      </w:r>
      <w:r w:rsidR="00082144">
        <w:rPr>
          <w:rFonts w:ascii="Arial" w:hAnsi="Arial" w:cs="Arial"/>
          <w:color w:val="000000" w:themeColor="text1"/>
          <w:sz w:val="24"/>
          <w:szCs w:val="24"/>
          <w:lang w:val="de-AT"/>
        </w:rPr>
        <w:t>ben</w:t>
      </w:r>
      <w:r w:rsidR="007C7DA8" w:rsidRPr="00F21603">
        <w:rPr>
          <w:rFonts w:ascii="Arial" w:hAnsi="Arial" w:cs="Arial"/>
          <w:color w:val="000000" w:themeColor="text1"/>
          <w:sz w:val="24"/>
          <w:szCs w:val="24"/>
          <w:lang w:val="de-AT"/>
        </w:rPr>
        <w:t xml:space="preserve"> die sozialen Esser einen niedrigeren durchschnittlichen BMI (23,71) als die Allein-Esser (24,58).</w:t>
      </w:r>
    </w:p>
    <w:p w14:paraId="30281591" w14:textId="4B1FDDF5" w:rsidR="007C7DA8" w:rsidRPr="00F21603" w:rsidRDefault="007C7DA8" w:rsidP="00F21603">
      <w:pPr>
        <w:pStyle w:val="Kommentartext"/>
        <w:rPr>
          <w:rFonts w:ascii="Arial" w:hAnsi="Arial" w:cs="Arial"/>
          <w:color w:val="000000" w:themeColor="text1"/>
          <w:sz w:val="24"/>
          <w:szCs w:val="24"/>
          <w:lang w:val="de-AT"/>
        </w:rPr>
      </w:pPr>
      <w:r w:rsidRPr="00F21603">
        <w:rPr>
          <w:rFonts w:ascii="Arial" w:hAnsi="Arial" w:cs="Arial"/>
          <w:color w:val="000000" w:themeColor="text1"/>
          <w:sz w:val="24"/>
          <w:szCs w:val="24"/>
          <w:lang w:val="de-AT"/>
        </w:rPr>
        <w:t>Die Ergebnisse zeigten,</w:t>
      </w:r>
      <w:r w:rsidR="00672268">
        <w:rPr>
          <w:rFonts w:ascii="Arial" w:hAnsi="Arial" w:cs="Arial"/>
          <w:color w:val="000000" w:themeColor="text1"/>
          <w:sz w:val="24"/>
          <w:szCs w:val="24"/>
          <w:lang w:val="de-AT"/>
        </w:rPr>
        <w:t xml:space="preserve"> </w:t>
      </w:r>
      <w:r w:rsidRPr="00F21603">
        <w:rPr>
          <w:rFonts w:ascii="Arial" w:hAnsi="Arial" w:cs="Arial"/>
          <w:color w:val="000000" w:themeColor="text1"/>
          <w:sz w:val="24"/>
          <w:szCs w:val="24"/>
          <w:lang w:val="de-AT"/>
        </w:rPr>
        <w:t>das Essen außer Haus</w:t>
      </w:r>
      <w:r w:rsidR="00672268">
        <w:rPr>
          <w:rFonts w:ascii="Arial" w:hAnsi="Arial" w:cs="Arial"/>
          <w:color w:val="000000" w:themeColor="text1"/>
          <w:sz w:val="24"/>
          <w:szCs w:val="24"/>
          <w:lang w:val="de-AT"/>
        </w:rPr>
        <w:t xml:space="preserve"> – </w:t>
      </w:r>
      <w:r w:rsidRPr="00F21603">
        <w:rPr>
          <w:rFonts w:ascii="Arial" w:hAnsi="Arial" w:cs="Arial"/>
          <w:color w:val="000000" w:themeColor="text1"/>
          <w:sz w:val="24"/>
          <w:szCs w:val="24"/>
          <w:lang w:val="de-AT"/>
        </w:rPr>
        <w:t>aufgrund ungesünderer Inhalte und höherer Verfügbarkeit von "</w:t>
      </w:r>
      <w:proofErr w:type="spellStart"/>
      <w:r w:rsidRPr="00F21603">
        <w:rPr>
          <w:rFonts w:ascii="Arial" w:hAnsi="Arial" w:cs="Arial"/>
          <w:color w:val="000000" w:themeColor="text1"/>
          <w:sz w:val="24"/>
          <w:szCs w:val="24"/>
          <w:lang w:val="de-AT"/>
        </w:rPr>
        <w:t>ready-to-eat</w:t>
      </w:r>
      <w:proofErr w:type="spellEnd"/>
      <w:r w:rsidRPr="00F21603">
        <w:rPr>
          <w:rFonts w:ascii="Arial" w:hAnsi="Arial" w:cs="Arial"/>
          <w:color w:val="000000" w:themeColor="text1"/>
          <w:sz w:val="24"/>
          <w:szCs w:val="24"/>
          <w:lang w:val="de-AT"/>
        </w:rPr>
        <w:t>" Lebensmitteln</w:t>
      </w:r>
      <w:r w:rsidR="00672268">
        <w:rPr>
          <w:rFonts w:ascii="Arial" w:hAnsi="Arial" w:cs="Arial"/>
          <w:color w:val="000000" w:themeColor="text1"/>
          <w:sz w:val="24"/>
          <w:szCs w:val="24"/>
          <w:lang w:val="de-AT"/>
        </w:rPr>
        <w:t xml:space="preserve"> –</w:t>
      </w:r>
      <w:r w:rsidRPr="00F21603">
        <w:rPr>
          <w:rFonts w:ascii="Arial" w:hAnsi="Arial" w:cs="Arial"/>
          <w:color w:val="000000" w:themeColor="text1"/>
          <w:sz w:val="24"/>
          <w:szCs w:val="24"/>
          <w:lang w:val="de-AT"/>
        </w:rPr>
        <w:t xml:space="preserve"> Übergewicht oder Fettleibigkeit förderte. Darüber hinaus verhinderte Kochen Übergewicht oder Fettleibigkeit. Dies konnte mit der Frische der beim Kochen verwendeten Lebensmittel und der mit dem Kochen verbundenen körperlichen Aktivität erklärt werden.</w:t>
      </w:r>
    </w:p>
    <w:p w14:paraId="1895E2AA" w14:textId="77777777" w:rsidR="00DB017D" w:rsidRPr="00F21603" w:rsidRDefault="00DB017D" w:rsidP="00F21603">
      <w:pPr>
        <w:pStyle w:val="Kommentartext"/>
        <w:rPr>
          <w:rFonts w:ascii="Arial" w:hAnsi="Arial" w:cs="Arial"/>
          <w:color w:val="000000" w:themeColor="text1"/>
          <w:sz w:val="24"/>
          <w:szCs w:val="24"/>
          <w:lang w:val="de-AT"/>
        </w:rPr>
      </w:pPr>
    </w:p>
    <w:p w14:paraId="43510238" w14:textId="5A6D6D59" w:rsidR="008D241A" w:rsidRPr="00F21603" w:rsidRDefault="008D241A" w:rsidP="00F21603">
      <w:pPr>
        <w:pStyle w:val="Kommentartext"/>
        <w:rPr>
          <w:rFonts w:ascii="Arial" w:hAnsi="Arial" w:cs="Arial"/>
          <w:b/>
          <w:bCs/>
          <w:color w:val="000000" w:themeColor="text1"/>
          <w:sz w:val="24"/>
          <w:szCs w:val="24"/>
          <w:lang w:val="de-AT"/>
        </w:rPr>
      </w:pPr>
      <w:r w:rsidRPr="00F21603">
        <w:rPr>
          <w:rFonts w:ascii="Arial" w:hAnsi="Arial" w:cs="Arial"/>
          <w:b/>
          <w:bCs/>
          <w:color w:val="000000" w:themeColor="text1"/>
          <w:sz w:val="24"/>
          <w:szCs w:val="24"/>
          <w:lang w:val="de-AT"/>
        </w:rPr>
        <w:t>Schlussfolgerung</w:t>
      </w:r>
    </w:p>
    <w:p w14:paraId="3AFDBDF7" w14:textId="3885C9C0" w:rsidR="007315B3" w:rsidRPr="00F21603" w:rsidRDefault="007315B3" w:rsidP="00F21603">
      <w:pPr>
        <w:spacing w:after="120"/>
        <w:jc w:val="both"/>
        <w:rPr>
          <w:rFonts w:ascii="Arial" w:hAnsi="Arial" w:cs="Arial"/>
        </w:rPr>
      </w:pPr>
      <w:r w:rsidRPr="00F21603">
        <w:rPr>
          <w:rFonts w:ascii="Arial" w:hAnsi="Arial" w:cs="Arial"/>
        </w:rPr>
        <w:t>Das Befolgen von strengen Regeln, Prinzipien und Ernährungsrichtlinien in Bezug auf biologisch-medizinische Aspekte des Essens verhindert nicht, dass ein Individuum übergewichtig oder fettleibig wird. Die Fokussierung auf d</w:t>
      </w:r>
      <w:r w:rsidR="00EB42D6">
        <w:rPr>
          <w:rFonts w:ascii="Arial" w:hAnsi="Arial" w:cs="Arial"/>
        </w:rPr>
        <w:t>ie</w:t>
      </w:r>
      <w:r w:rsidRPr="00F21603">
        <w:rPr>
          <w:rFonts w:ascii="Arial" w:hAnsi="Arial" w:cs="Arial"/>
        </w:rPr>
        <w:t xml:space="preserve"> Erlebnis</w:t>
      </w:r>
      <w:r w:rsidR="00EB42D6">
        <w:rPr>
          <w:rFonts w:ascii="Arial" w:hAnsi="Arial" w:cs="Arial"/>
        </w:rPr>
        <w:t>welt</w:t>
      </w:r>
      <w:r w:rsidRPr="00F21603">
        <w:rPr>
          <w:rFonts w:ascii="Arial" w:hAnsi="Arial" w:cs="Arial"/>
        </w:rPr>
        <w:t xml:space="preserve"> des Essens </w:t>
      </w:r>
      <w:r w:rsidR="0035523C">
        <w:rPr>
          <w:rFonts w:ascii="Arial" w:hAnsi="Arial" w:cs="Arial"/>
        </w:rPr>
        <w:t>–</w:t>
      </w:r>
      <w:r w:rsidRPr="00F21603">
        <w:rPr>
          <w:rFonts w:ascii="Arial" w:hAnsi="Arial" w:cs="Arial"/>
        </w:rPr>
        <w:t xml:space="preserve"> mit </w:t>
      </w:r>
      <w:r w:rsidR="00050B9D">
        <w:rPr>
          <w:rFonts w:ascii="Arial" w:hAnsi="Arial" w:cs="Arial"/>
        </w:rPr>
        <w:t xml:space="preserve">Fokus auf den sinnlichen </w:t>
      </w:r>
      <w:r w:rsidRPr="00F21603">
        <w:rPr>
          <w:rFonts w:ascii="Arial" w:hAnsi="Arial" w:cs="Arial"/>
        </w:rPr>
        <w:t xml:space="preserve">Genuss und </w:t>
      </w:r>
      <w:r w:rsidR="00050B9D">
        <w:rPr>
          <w:rFonts w:ascii="Arial" w:hAnsi="Arial" w:cs="Arial"/>
        </w:rPr>
        <w:t>die soziale Komponente des Essens</w:t>
      </w:r>
      <w:r w:rsidRPr="00F21603">
        <w:rPr>
          <w:rFonts w:ascii="Arial" w:hAnsi="Arial" w:cs="Arial"/>
        </w:rPr>
        <w:t xml:space="preserve"> </w:t>
      </w:r>
      <w:r w:rsidR="0035523C">
        <w:rPr>
          <w:rFonts w:ascii="Arial" w:hAnsi="Arial" w:cs="Arial"/>
        </w:rPr>
        <w:t>–</w:t>
      </w:r>
      <w:r w:rsidRPr="00F21603">
        <w:rPr>
          <w:rFonts w:ascii="Arial" w:hAnsi="Arial" w:cs="Arial"/>
        </w:rPr>
        <w:t xml:space="preserve"> könnte jedoch </w:t>
      </w:r>
      <w:r w:rsidR="00050B9D">
        <w:rPr>
          <w:rFonts w:ascii="Arial" w:hAnsi="Arial" w:cs="Arial"/>
        </w:rPr>
        <w:t xml:space="preserve">einen Beitrag leisten </w:t>
      </w:r>
      <w:r w:rsidRPr="00F21603">
        <w:rPr>
          <w:rFonts w:ascii="Arial" w:hAnsi="Arial" w:cs="Arial"/>
        </w:rPr>
        <w:t xml:space="preserve">Übergewicht oder Fettleibigkeit verhindern. Weder eine </w:t>
      </w:r>
      <w:r w:rsidR="00CD3F1E">
        <w:rPr>
          <w:rFonts w:ascii="Arial" w:hAnsi="Arial" w:cs="Arial"/>
        </w:rPr>
        <w:t xml:space="preserve">Orientierung auf das gesunde Essen </w:t>
      </w:r>
      <w:r w:rsidRPr="00F21603">
        <w:rPr>
          <w:rFonts w:ascii="Arial" w:hAnsi="Arial" w:cs="Arial"/>
        </w:rPr>
        <w:t xml:space="preserve">noch ein </w:t>
      </w:r>
      <w:r w:rsidR="003A7E1D">
        <w:rPr>
          <w:rFonts w:ascii="Arial" w:hAnsi="Arial" w:cs="Arial"/>
        </w:rPr>
        <w:t>soziales</w:t>
      </w:r>
      <w:r w:rsidRPr="00F21603">
        <w:rPr>
          <w:rFonts w:ascii="Arial" w:hAnsi="Arial" w:cs="Arial"/>
        </w:rPr>
        <w:t xml:space="preserve"> Essverhalten fördern oder verhindern </w:t>
      </w:r>
      <w:r w:rsidR="00736AC5">
        <w:rPr>
          <w:rFonts w:ascii="Arial" w:hAnsi="Arial" w:cs="Arial"/>
        </w:rPr>
        <w:t xml:space="preserve">Fettleibigkeit </w:t>
      </w:r>
      <w:r w:rsidRPr="00F21603">
        <w:rPr>
          <w:rFonts w:ascii="Arial" w:hAnsi="Arial" w:cs="Arial"/>
        </w:rPr>
        <w:t>direkt.</w:t>
      </w:r>
    </w:p>
    <w:p w14:paraId="1703855D" w14:textId="38D836AB" w:rsidR="00E55F04" w:rsidRDefault="00B36327" w:rsidP="00F21603">
      <w:pPr>
        <w:spacing w:after="120"/>
        <w:jc w:val="both"/>
        <w:rPr>
          <w:rFonts w:ascii="Arial" w:hAnsi="Arial" w:cs="Arial"/>
        </w:rPr>
      </w:pPr>
      <w:r>
        <w:rPr>
          <w:rFonts w:ascii="Arial" w:hAnsi="Arial" w:cs="Arial"/>
        </w:rPr>
        <w:t xml:space="preserve">Alles in allem </w:t>
      </w:r>
      <w:r w:rsidR="001955CA">
        <w:rPr>
          <w:rFonts w:ascii="Arial" w:hAnsi="Arial" w:cs="Arial"/>
        </w:rPr>
        <w:t>haben die Untersuchungen gezeigt</w:t>
      </w:r>
      <w:r w:rsidR="007315B3" w:rsidRPr="00F21603">
        <w:rPr>
          <w:rFonts w:ascii="Arial" w:hAnsi="Arial" w:cs="Arial"/>
        </w:rPr>
        <w:t>, dass Fettleibigkeit nicht nur davon abhängt, w</w:t>
      </w:r>
      <w:r w:rsidR="001955CA">
        <w:rPr>
          <w:rFonts w:ascii="Arial" w:hAnsi="Arial" w:cs="Arial"/>
        </w:rPr>
        <w:t>elche Nahrung</w:t>
      </w:r>
      <w:r w:rsidR="007315B3" w:rsidRPr="00F21603">
        <w:rPr>
          <w:rFonts w:ascii="Arial" w:hAnsi="Arial" w:cs="Arial"/>
        </w:rPr>
        <w:t xml:space="preserve"> Menschen </w:t>
      </w:r>
      <w:r w:rsidR="001955CA">
        <w:rPr>
          <w:rFonts w:ascii="Arial" w:hAnsi="Arial" w:cs="Arial"/>
        </w:rPr>
        <w:t>zu sich nehmen</w:t>
      </w:r>
      <w:r w:rsidR="007315B3" w:rsidRPr="00F21603">
        <w:rPr>
          <w:rFonts w:ascii="Arial" w:hAnsi="Arial" w:cs="Arial"/>
        </w:rPr>
        <w:t>, sondern auch davon, wie, wann, wie oft und mit wem sie essen.</w:t>
      </w:r>
    </w:p>
    <w:p w14:paraId="6FCD45F4" w14:textId="6AF87803" w:rsidR="00BB65D5" w:rsidRPr="00F21603" w:rsidRDefault="00BB65D5" w:rsidP="00F21603">
      <w:pPr>
        <w:spacing w:after="120"/>
        <w:rPr>
          <w:rFonts w:ascii="Arial" w:eastAsia="Calibri" w:hAnsi="Arial" w:cs="Arial"/>
          <w:b/>
          <w:bCs/>
          <w:color w:val="000000" w:themeColor="text1"/>
        </w:rPr>
      </w:pPr>
      <w:r w:rsidRPr="00F21603">
        <w:rPr>
          <w:rFonts w:ascii="Arial" w:hAnsi="Arial" w:cs="Arial"/>
          <w:b/>
          <w:bCs/>
          <w:color w:val="000000" w:themeColor="text1"/>
        </w:rPr>
        <w:br w:type="page"/>
      </w:r>
    </w:p>
    <w:p w14:paraId="20F19227" w14:textId="1528E1EE"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Pr>
          <w:rFonts w:ascii="Arial" w:hAnsi="Arial" w:cs="Arial"/>
          <w:b/>
          <w:bCs/>
          <w:color w:val="000000" w:themeColor="text1"/>
        </w:rPr>
        <w:lastRenderedPageBreak/>
        <w:fldChar w:fldCharType="begin" w:fldLock="1"/>
      </w:r>
      <w:r w:rsidRPr="00F34ABB">
        <w:rPr>
          <w:rFonts w:ascii="Arial" w:hAnsi="Arial" w:cs="Arial"/>
          <w:b/>
          <w:bCs/>
          <w:color w:val="000000" w:themeColor="text1"/>
          <w:lang w:val="en-US"/>
        </w:rPr>
        <w:instrText xml:space="preserve">ADDIN Mendeley Bibliography CSL_BIBLIOGRAPHY </w:instrText>
      </w:r>
      <w:r>
        <w:rPr>
          <w:rFonts w:ascii="Arial" w:hAnsi="Arial" w:cs="Arial"/>
          <w:b/>
          <w:bCs/>
          <w:color w:val="000000" w:themeColor="text1"/>
        </w:rPr>
        <w:fldChar w:fldCharType="separate"/>
      </w:r>
      <w:r w:rsidRPr="00F34ABB">
        <w:rPr>
          <w:rFonts w:ascii="Arial" w:hAnsi="Arial" w:cs="Arial"/>
          <w:noProof/>
          <w:lang w:val="tr-TR"/>
        </w:rPr>
        <w:t xml:space="preserve">Barilla Center for Food and Nutrition. (2012). </w:t>
      </w:r>
      <w:r w:rsidRPr="00F34ABB">
        <w:rPr>
          <w:rFonts w:ascii="Arial" w:hAnsi="Arial" w:cs="Arial"/>
          <w:i/>
          <w:iCs/>
          <w:noProof/>
          <w:lang w:val="tr-TR"/>
        </w:rPr>
        <w:t>Double Pyramid 2012: Enabling sustainable food choices</w:t>
      </w:r>
      <w:r w:rsidRPr="00F34ABB">
        <w:rPr>
          <w:rFonts w:ascii="Arial" w:hAnsi="Arial" w:cs="Arial"/>
          <w:noProof/>
          <w:lang w:val="tr-TR"/>
        </w:rPr>
        <w:t>. 141. Retrieved from www.barilla.com</w:t>
      </w:r>
    </w:p>
    <w:p w14:paraId="6E80B6FC"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Chrysochou, P., Askegaard, S., Grunert, K. G., &amp; Kristensen, D. B. (2010). Social discourses of healthy eating. A market segmentation approach. </w:t>
      </w:r>
      <w:r w:rsidRPr="00F34ABB">
        <w:rPr>
          <w:rFonts w:ascii="Arial" w:hAnsi="Arial" w:cs="Arial"/>
          <w:i/>
          <w:iCs/>
          <w:noProof/>
          <w:lang w:val="tr-TR"/>
        </w:rPr>
        <w:t>Appetite</w:t>
      </w:r>
      <w:r w:rsidRPr="00F34ABB">
        <w:rPr>
          <w:rFonts w:ascii="Arial" w:hAnsi="Arial" w:cs="Arial"/>
          <w:noProof/>
          <w:lang w:val="tr-TR"/>
        </w:rPr>
        <w:t xml:space="preserve">, </w:t>
      </w:r>
      <w:r w:rsidRPr="00F34ABB">
        <w:rPr>
          <w:rFonts w:ascii="Arial" w:hAnsi="Arial" w:cs="Arial"/>
          <w:i/>
          <w:iCs/>
          <w:noProof/>
          <w:lang w:val="tr-TR"/>
        </w:rPr>
        <w:t>55</w:t>
      </w:r>
      <w:r w:rsidRPr="00F34ABB">
        <w:rPr>
          <w:rFonts w:ascii="Arial" w:hAnsi="Arial" w:cs="Arial"/>
          <w:noProof/>
          <w:lang w:val="tr-TR"/>
        </w:rPr>
        <w:t>(2), 288–297. https://doi.org/10.1016/j.appet.2010.06.015</w:t>
      </w:r>
    </w:p>
    <w:p w14:paraId="5AF8D310"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De Castro, J. M. (1997). Socio-cultural determinants of meal size and frequency. </w:t>
      </w:r>
      <w:r w:rsidRPr="00F34ABB">
        <w:rPr>
          <w:rFonts w:ascii="Arial" w:hAnsi="Arial" w:cs="Arial"/>
          <w:i/>
          <w:iCs/>
          <w:noProof/>
          <w:lang w:val="tr-TR"/>
        </w:rPr>
        <w:t>British Journal of Nutrition</w:t>
      </w:r>
      <w:r w:rsidRPr="00F34ABB">
        <w:rPr>
          <w:rFonts w:ascii="Arial" w:hAnsi="Arial" w:cs="Arial"/>
          <w:noProof/>
          <w:lang w:val="tr-TR"/>
        </w:rPr>
        <w:t xml:space="preserve">, </w:t>
      </w:r>
      <w:r w:rsidRPr="00F34ABB">
        <w:rPr>
          <w:rFonts w:ascii="Arial" w:hAnsi="Arial" w:cs="Arial"/>
          <w:i/>
          <w:iCs/>
          <w:noProof/>
          <w:lang w:val="tr-TR"/>
        </w:rPr>
        <w:t>77</w:t>
      </w:r>
      <w:r w:rsidRPr="00F34ABB">
        <w:rPr>
          <w:rFonts w:ascii="Arial" w:hAnsi="Arial" w:cs="Arial"/>
          <w:noProof/>
          <w:lang w:val="tr-TR"/>
        </w:rPr>
        <w:t>(S1), S39–S55. https://doi.org/10.1079/bjn19970103</w:t>
      </w:r>
    </w:p>
    <w:p w14:paraId="16C5EDD9"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Fischler, C. (1988). Food, Self and Identity. </w:t>
      </w:r>
      <w:r w:rsidRPr="00F34ABB">
        <w:rPr>
          <w:rFonts w:ascii="Arial" w:hAnsi="Arial" w:cs="Arial"/>
          <w:i/>
          <w:iCs/>
          <w:noProof/>
          <w:lang w:val="tr-TR"/>
        </w:rPr>
        <w:t>Social Science Information</w:t>
      </w:r>
      <w:r w:rsidRPr="00F34ABB">
        <w:rPr>
          <w:rFonts w:ascii="Arial" w:hAnsi="Arial" w:cs="Arial"/>
          <w:noProof/>
          <w:lang w:val="tr-TR"/>
        </w:rPr>
        <w:t xml:space="preserve">, </w:t>
      </w:r>
      <w:r w:rsidRPr="00F34ABB">
        <w:rPr>
          <w:rFonts w:ascii="Arial" w:hAnsi="Arial" w:cs="Arial"/>
          <w:i/>
          <w:iCs/>
          <w:noProof/>
          <w:lang w:val="tr-TR"/>
        </w:rPr>
        <w:t>27</w:t>
      </w:r>
      <w:r w:rsidRPr="00F34ABB">
        <w:rPr>
          <w:rFonts w:ascii="Arial" w:hAnsi="Arial" w:cs="Arial"/>
          <w:noProof/>
          <w:lang w:val="tr-TR"/>
        </w:rPr>
        <w:t>, 275–293.</w:t>
      </w:r>
    </w:p>
    <w:p w14:paraId="424259ED"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Fischler, C. (2011). Commensality, society and culture. </w:t>
      </w:r>
      <w:r w:rsidRPr="00F34ABB">
        <w:rPr>
          <w:rFonts w:ascii="Arial" w:hAnsi="Arial" w:cs="Arial"/>
          <w:i/>
          <w:iCs/>
          <w:noProof/>
          <w:lang w:val="tr-TR"/>
        </w:rPr>
        <w:t>Social Science Information</w:t>
      </w:r>
      <w:r w:rsidRPr="00F34ABB">
        <w:rPr>
          <w:rFonts w:ascii="Arial" w:hAnsi="Arial" w:cs="Arial"/>
          <w:noProof/>
          <w:lang w:val="tr-TR"/>
        </w:rPr>
        <w:t xml:space="preserve">, </w:t>
      </w:r>
      <w:r w:rsidRPr="00F34ABB">
        <w:rPr>
          <w:rFonts w:ascii="Arial" w:hAnsi="Arial" w:cs="Arial"/>
          <w:i/>
          <w:iCs/>
          <w:noProof/>
          <w:lang w:val="tr-TR"/>
        </w:rPr>
        <w:t>50</w:t>
      </w:r>
      <w:r w:rsidRPr="00F34ABB">
        <w:rPr>
          <w:rFonts w:ascii="Arial" w:hAnsi="Arial" w:cs="Arial"/>
          <w:noProof/>
          <w:lang w:val="tr-TR"/>
        </w:rPr>
        <w:t>(3–4), 528–548. https://doi.org/10.1177/0539018411413963</w:t>
      </w:r>
    </w:p>
    <w:p w14:paraId="0680A681"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Grunert, K. G., Brunso, K., &amp; Bisp, S. (1993). Food-related life style. Development of a cross-culturally valid instrument for market surveillance. </w:t>
      </w:r>
      <w:r w:rsidRPr="00F34ABB">
        <w:rPr>
          <w:rFonts w:ascii="Arial" w:hAnsi="Arial" w:cs="Arial"/>
          <w:i/>
          <w:iCs/>
          <w:noProof/>
          <w:lang w:val="tr-TR"/>
        </w:rPr>
        <w:t>MAPP Working Paper</w:t>
      </w:r>
      <w:r w:rsidRPr="00F34ABB">
        <w:rPr>
          <w:rFonts w:ascii="Arial" w:hAnsi="Arial" w:cs="Arial"/>
          <w:noProof/>
          <w:lang w:val="tr-TR"/>
        </w:rPr>
        <w:t xml:space="preserve">, </w:t>
      </w:r>
      <w:r w:rsidRPr="00F34ABB">
        <w:rPr>
          <w:rFonts w:ascii="Arial" w:hAnsi="Arial" w:cs="Arial"/>
          <w:i/>
          <w:iCs/>
          <w:noProof/>
          <w:lang w:val="tr-TR"/>
        </w:rPr>
        <w:t>12</w:t>
      </w:r>
      <w:r w:rsidRPr="00F34ABB">
        <w:rPr>
          <w:rFonts w:ascii="Arial" w:hAnsi="Arial" w:cs="Arial"/>
          <w:noProof/>
          <w:lang w:val="tr-TR"/>
        </w:rPr>
        <w:t>(10), 1–44.</w:t>
      </w:r>
    </w:p>
    <w:p w14:paraId="10804855"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Masson, E., Debucquet, G., Fischler, C., &amp; Merdji, M. (2016). French consumers’ perceptions of nutrition and health claims: A psychosocial-anthropological approach. </w:t>
      </w:r>
      <w:r w:rsidRPr="00F34ABB">
        <w:rPr>
          <w:rFonts w:ascii="Arial" w:hAnsi="Arial" w:cs="Arial"/>
          <w:i/>
          <w:iCs/>
          <w:noProof/>
          <w:lang w:val="tr-TR"/>
        </w:rPr>
        <w:t>Appetite</w:t>
      </w:r>
      <w:r w:rsidRPr="00F34ABB">
        <w:rPr>
          <w:rFonts w:ascii="Arial" w:hAnsi="Arial" w:cs="Arial"/>
          <w:noProof/>
          <w:lang w:val="tr-TR"/>
        </w:rPr>
        <w:t xml:space="preserve">, </w:t>
      </w:r>
      <w:r w:rsidRPr="00F34ABB">
        <w:rPr>
          <w:rFonts w:ascii="Arial" w:hAnsi="Arial" w:cs="Arial"/>
          <w:i/>
          <w:iCs/>
          <w:noProof/>
          <w:lang w:val="tr-TR"/>
        </w:rPr>
        <w:t>105</w:t>
      </w:r>
      <w:r w:rsidRPr="00F34ABB">
        <w:rPr>
          <w:rFonts w:ascii="Arial" w:hAnsi="Arial" w:cs="Arial"/>
          <w:noProof/>
          <w:lang w:val="tr-TR"/>
        </w:rPr>
        <w:t>(June), 618–629. https://doi.org/10.1016/j.appet.2016.06.026</w:t>
      </w:r>
    </w:p>
    <w:p w14:paraId="24639177"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Reid, M., Li, E., &amp; Bruwer, J. (2008). Journal of Food Products Food-Related Lifestyles in a Cross-Cultural Context. </w:t>
      </w:r>
      <w:r w:rsidRPr="00F34ABB">
        <w:rPr>
          <w:rFonts w:ascii="Arial" w:hAnsi="Arial" w:cs="Arial"/>
          <w:i/>
          <w:iCs/>
          <w:noProof/>
          <w:lang w:val="tr-TR"/>
        </w:rPr>
        <w:t xml:space="preserve">Journal of Food </w:t>
      </w:r>
      <w:r w:rsidRPr="00F34ABB">
        <w:rPr>
          <w:rFonts w:ascii="Arial" w:hAnsi="Arial" w:cs="Arial"/>
          <w:i/>
          <w:iCs/>
          <w:noProof/>
          <w:lang w:val="tr-TR"/>
        </w:rPr>
        <w:t>Products Marketing</w:t>
      </w:r>
      <w:r w:rsidRPr="00F34ABB">
        <w:rPr>
          <w:rFonts w:ascii="Arial" w:hAnsi="Arial" w:cs="Arial"/>
          <w:noProof/>
          <w:lang w:val="tr-TR"/>
        </w:rPr>
        <w:t xml:space="preserve">, </w:t>
      </w:r>
      <w:r w:rsidRPr="00F34ABB">
        <w:rPr>
          <w:rFonts w:ascii="Arial" w:hAnsi="Arial" w:cs="Arial"/>
          <w:i/>
          <w:iCs/>
          <w:noProof/>
          <w:lang w:val="tr-TR"/>
        </w:rPr>
        <w:t>7</w:t>
      </w:r>
      <w:r w:rsidRPr="00F34ABB">
        <w:rPr>
          <w:rFonts w:ascii="Arial" w:hAnsi="Arial" w:cs="Arial"/>
          <w:noProof/>
          <w:lang w:val="tr-TR"/>
        </w:rPr>
        <w:t>(4), 19–35. https://doi.org/10.1300/J038v07n04</w:t>
      </w:r>
    </w:p>
    <w:p w14:paraId="1AD038A2"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Rozin, P. (2005). The meaning of food in our lives: A cross-cultural perspective on eating and well-being. </w:t>
      </w:r>
      <w:r w:rsidRPr="00F34ABB">
        <w:rPr>
          <w:rFonts w:ascii="Arial" w:hAnsi="Arial" w:cs="Arial"/>
          <w:i/>
          <w:iCs/>
          <w:noProof/>
          <w:lang w:val="tr-TR"/>
        </w:rPr>
        <w:t>Journal of Nutrition Education and Behavior</w:t>
      </w:r>
      <w:r w:rsidRPr="00F34ABB">
        <w:rPr>
          <w:rFonts w:ascii="Arial" w:hAnsi="Arial" w:cs="Arial"/>
          <w:noProof/>
          <w:lang w:val="tr-TR"/>
        </w:rPr>
        <w:t xml:space="preserve">, </w:t>
      </w:r>
      <w:r w:rsidRPr="00F34ABB">
        <w:rPr>
          <w:rFonts w:ascii="Arial" w:hAnsi="Arial" w:cs="Arial"/>
          <w:i/>
          <w:iCs/>
          <w:noProof/>
          <w:lang w:val="tr-TR"/>
        </w:rPr>
        <w:t>37</w:t>
      </w:r>
      <w:r w:rsidRPr="00F34ABB">
        <w:rPr>
          <w:rFonts w:ascii="Arial" w:hAnsi="Arial" w:cs="Arial"/>
          <w:noProof/>
          <w:lang w:val="tr-TR"/>
        </w:rPr>
        <w:t>(SUPPL. 2). https://doi.org/10.1016/S1499-4046(06)60209-1</w:t>
      </w:r>
    </w:p>
    <w:p w14:paraId="41194D62" w14:textId="77777777" w:rsidR="00F34ABB" w:rsidRPr="00F34ABB" w:rsidRDefault="00F34ABB" w:rsidP="00F34ABB">
      <w:pPr>
        <w:widowControl w:val="0"/>
        <w:autoSpaceDE w:val="0"/>
        <w:autoSpaceDN w:val="0"/>
        <w:adjustRightInd w:val="0"/>
        <w:spacing w:after="120"/>
        <w:ind w:left="480" w:hanging="480"/>
        <w:rPr>
          <w:rFonts w:ascii="Arial" w:hAnsi="Arial" w:cs="Arial"/>
          <w:noProof/>
          <w:lang w:val="tr-TR"/>
        </w:rPr>
      </w:pPr>
      <w:r w:rsidRPr="00F34ABB">
        <w:rPr>
          <w:rFonts w:ascii="Arial" w:hAnsi="Arial" w:cs="Arial"/>
          <w:noProof/>
          <w:lang w:val="tr-TR"/>
        </w:rPr>
        <w:t xml:space="preserve">Rozin, P., Fischler, C., Shields, C., &amp; Masson, E. (2006). Attitudes towards large numbers of choices in the food domain: A cross-cultural study of five countries in Europe and the USA. </w:t>
      </w:r>
      <w:r w:rsidRPr="00F34ABB">
        <w:rPr>
          <w:rFonts w:ascii="Arial" w:hAnsi="Arial" w:cs="Arial"/>
          <w:i/>
          <w:iCs/>
          <w:noProof/>
          <w:lang w:val="tr-TR"/>
        </w:rPr>
        <w:t>Appetite</w:t>
      </w:r>
      <w:r w:rsidRPr="00F34ABB">
        <w:rPr>
          <w:rFonts w:ascii="Arial" w:hAnsi="Arial" w:cs="Arial"/>
          <w:noProof/>
          <w:lang w:val="tr-TR"/>
        </w:rPr>
        <w:t xml:space="preserve">, </w:t>
      </w:r>
      <w:r w:rsidRPr="00F34ABB">
        <w:rPr>
          <w:rFonts w:ascii="Arial" w:hAnsi="Arial" w:cs="Arial"/>
          <w:i/>
          <w:iCs/>
          <w:noProof/>
          <w:lang w:val="tr-TR"/>
        </w:rPr>
        <w:t>46</w:t>
      </w:r>
      <w:r w:rsidRPr="00F34ABB">
        <w:rPr>
          <w:rFonts w:ascii="Arial" w:hAnsi="Arial" w:cs="Arial"/>
          <w:noProof/>
          <w:lang w:val="tr-TR"/>
        </w:rPr>
        <w:t>(3), 304–308. https://doi.org/10.1016/j.appet.2006.01.017</w:t>
      </w:r>
    </w:p>
    <w:p w14:paraId="02BA7ABA" w14:textId="77777777" w:rsidR="00F34ABB" w:rsidRPr="00F34ABB" w:rsidRDefault="00F34ABB" w:rsidP="00F34ABB">
      <w:pPr>
        <w:widowControl w:val="0"/>
        <w:autoSpaceDE w:val="0"/>
        <w:autoSpaceDN w:val="0"/>
        <w:adjustRightInd w:val="0"/>
        <w:spacing w:after="120"/>
        <w:ind w:left="480" w:hanging="480"/>
        <w:rPr>
          <w:rFonts w:ascii="Arial" w:hAnsi="Arial" w:cs="Arial"/>
          <w:noProof/>
        </w:rPr>
      </w:pPr>
      <w:r w:rsidRPr="00F34ABB">
        <w:rPr>
          <w:rFonts w:ascii="Arial" w:hAnsi="Arial" w:cs="Arial"/>
          <w:noProof/>
          <w:lang w:val="tr-TR"/>
        </w:rPr>
        <w:t xml:space="preserve">Sproesser, G., Ruby, M. B., Arbit, N., Akotia, C. S., Alvarenga, M. D. S., Bhangaokar, R., … Renner, B. (2019). Understanding traditional and modern eating: The TEP10 framework. </w:t>
      </w:r>
      <w:r w:rsidRPr="00F34ABB">
        <w:rPr>
          <w:rFonts w:ascii="Arial" w:hAnsi="Arial" w:cs="Arial"/>
          <w:i/>
          <w:iCs/>
          <w:noProof/>
          <w:lang w:val="tr-TR"/>
        </w:rPr>
        <w:t>BMC Public Health</w:t>
      </w:r>
      <w:r w:rsidRPr="00F34ABB">
        <w:rPr>
          <w:rFonts w:ascii="Arial" w:hAnsi="Arial" w:cs="Arial"/>
          <w:noProof/>
          <w:lang w:val="tr-TR"/>
        </w:rPr>
        <w:t xml:space="preserve">, </w:t>
      </w:r>
      <w:r w:rsidRPr="00F34ABB">
        <w:rPr>
          <w:rFonts w:ascii="Arial" w:hAnsi="Arial" w:cs="Arial"/>
          <w:i/>
          <w:iCs/>
          <w:noProof/>
          <w:lang w:val="tr-TR"/>
        </w:rPr>
        <w:t>19</w:t>
      </w:r>
      <w:r w:rsidRPr="00F34ABB">
        <w:rPr>
          <w:rFonts w:ascii="Arial" w:hAnsi="Arial" w:cs="Arial"/>
          <w:noProof/>
          <w:lang w:val="tr-TR"/>
        </w:rPr>
        <w:t>(1), 1–14. https://doi.org/10.1186/s12889-019-7844-4</w:t>
      </w:r>
    </w:p>
    <w:p w14:paraId="59210585" w14:textId="4702E80B" w:rsidR="00AB33C4" w:rsidRPr="00F21603" w:rsidRDefault="00F34ABB" w:rsidP="00F21603">
      <w:pPr>
        <w:pStyle w:val="Kommentartext"/>
        <w:rPr>
          <w:rFonts w:ascii="Arial" w:hAnsi="Arial" w:cs="Arial"/>
          <w:b/>
          <w:bCs/>
          <w:color w:val="000000" w:themeColor="text1"/>
          <w:sz w:val="24"/>
          <w:szCs w:val="24"/>
          <w:lang w:val="de-AT"/>
        </w:rPr>
      </w:pPr>
      <w:r>
        <w:rPr>
          <w:rFonts w:ascii="Arial" w:hAnsi="Arial" w:cs="Arial"/>
          <w:b/>
          <w:bCs/>
          <w:color w:val="000000" w:themeColor="text1"/>
          <w:sz w:val="24"/>
          <w:szCs w:val="24"/>
          <w:lang w:val="de-AT"/>
        </w:rPr>
        <w:fldChar w:fldCharType="end"/>
      </w:r>
    </w:p>
    <w:sectPr w:rsidR="00AB33C4" w:rsidRPr="00F21603" w:rsidSect="00C907F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0A"/>
    <w:rsid w:val="00001693"/>
    <w:rsid w:val="0000266D"/>
    <w:rsid w:val="00004C7F"/>
    <w:rsid w:val="00005DC4"/>
    <w:rsid w:val="00006346"/>
    <w:rsid w:val="00014FEF"/>
    <w:rsid w:val="00016587"/>
    <w:rsid w:val="00016999"/>
    <w:rsid w:val="00020E2E"/>
    <w:rsid w:val="000212E2"/>
    <w:rsid w:val="000249A5"/>
    <w:rsid w:val="000251E1"/>
    <w:rsid w:val="00027660"/>
    <w:rsid w:val="0003067F"/>
    <w:rsid w:val="000337D5"/>
    <w:rsid w:val="000477C3"/>
    <w:rsid w:val="00050B9D"/>
    <w:rsid w:val="00053090"/>
    <w:rsid w:val="00055527"/>
    <w:rsid w:val="00065B9E"/>
    <w:rsid w:val="000709B0"/>
    <w:rsid w:val="00072A59"/>
    <w:rsid w:val="00082144"/>
    <w:rsid w:val="000841AD"/>
    <w:rsid w:val="00084DC1"/>
    <w:rsid w:val="0008676D"/>
    <w:rsid w:val="00086E05"/>
    <w:rsid w:val="00092F0F"/>
    <w:rsid w:val="0009561B"/>
    <w:rsid w:val="00096FD5"/>
    <w:rsid w:val="000B28D9"/>
    <w:rsid w:val="000B2B39"/>
    <w:rsid w:val="000B3BB0"/>
    <w:rsid w:val="000C1F9F"/>
    <w:rsid w:val="000D1F7D"/>
    <w:rsid w:val="000D542F"/>
    <w:rsid w:val="000D681B"/>
    <w:rsid w:val="000D732A"/>
    <w:rsid w:val="000E0350"/>
    <w:rsid w:val="000E1825"/>
    <w:rsid w:val="000E4EF0"/>
    <w:rsid w:val="000E7690"/>
    <w:rsid w:val="000F76B4"/>
    <w:rsid w:val="001020C5"/>
    <w:rsid w:val="001026DB"/>
    <w:rsid w:val="001120FB"/>
    <w:rsid w:val="00113749"/>
    <w:rsid w:val="00115F02"/>
    <w:rsid w:val="001175A8"/>
    <w:rsid w:val="0012673A"/>
    <w:rsid w:val="00127E03"/>
    <w:rsid w:val="00137771"/>
    <w:rsid w:val="00141107"/>
    <w:rsid w:val="00152AFC"/>
    <w:rsid w:val="001547E0"/>
    <w:rsid w:val="00161056"/>
    <w:rsid w:val="00163462"/>
    <w:rsid w:val="0016386A"/>
    <w:rsid w:val="0016512B"/>
    <w:rsid w:val="00171760"/>
    <w:rsid w:val="00176D01"/>
    <w:rsid w:val="0018134A"/>
    <w:rsid w:val="001820E6"/>
    <w:rsid w:val="00182589"/>
    <w:rsid w:val="00190D09"/>
    <w:rsid w:val="0019139E"/>
    <w:rsid w:val="001935EA"/>
    <w:rsid w:val="001955CA"/>
    <w:rsid w:val="0019596F"/>
    <w:rsid w:val="0019617F"/>
    <w:rsid w:val="001A57F9"/>
    <w:rsid w:val="001B5033"/>
    <w:rsid w:val="001B559C"/>
    <w:rsid w:val="001B6092"/>
    <w:rsid w:val="001B6150"/>
    <w:rsid w:val="001B6C5E"/>
    <w:rsid w:val="001C2F94"/>
    <w:rsid w:val="001C6EB9"/>
    <w:rsid w:val="001C7E86"/>
    <w:rsid w:val="001D5C0A"/>
    <w:rsid w:val="001D7015"/>
    <w:rsid w:val="00202401"/>
    <w:rsid w:val="00212213"/>
    <w:rsid w:val="00214191"/>
    <w:rsid w:val="002160FD"/>
    <w:rsid w:val="00216815"/>
    <w:rsid w:val="002239D1"/>
    <w:rsid w:val="0022416E"/>
    <w:rsid w:val="00227D41"/>
    <w:rsid w:val="00234447"/>
    <w:rsid w:val="00235B1B"/>
    <w:rsid w:val="00236AB5"/>
    <w:rsid w:val="00241A50"/>
    <w:rsid w:val="00242B50"/>
    <w:rsid w:val="00243550"/>
    <w:rsid w:val="002439FC"/>
    <w:rsid w:val="00247D66"/>
    <w:rsid w:val="00252A61"/>
    <w:rsid w:val="00252E2D"/>
    <w:rsid w:val="00255A98"/>
    <w:rsid w:val="00255D66"/>
    <w:rsid w:val="00263BA0"/>
    <w:rsid w:val="00265D23"/>
    <w:rsid w:val="002664D6"/>
    <w:rsid w:val="00275A60"/>
    <w:rsid w:val="00277108"/>
    <w:rsid w:val="00280283"/>
    <w:rsid w:val="0028067E"/>
    <w:rsid w:val="00280FAE"/>
    <w:rsid w:val="002837DC"/>
    <w:rsid w:val="002908AD"/>
    <w:rsid w:val="0029155E"/>
    <w:rsid w:val="00294BED"/>
    <w:rsid w:val="00294F80"/>
    <w:rsid w:val="002A7BBC"/>
    <w:rsid w:val="002B0767"/>
    <w:rsid w:val="002B1042"/>
    <w:rsid w:val="002B10EF"/>
    <w:rsid w:val="002B3A29"/>
    <w:rsid w:val="002B7814"/>
    <w:rsid w:val="002C1C1D"/>
    <w:rsid w:val="002C3E5D"/>
    <w:rsid w:val="002C4036"/>
    <w:rsid w:val="002C496A"/>
    <w:rsid w:val="002D314E"/>
    <w:rsid w:val="002D3C56"/>
    <w:rsid w:val="002E0519"/>
    <w:rsid w:val="002E2477"/>
    <w:rsid w:val="002E6363"/>
    <w:rsid w:val="002F0B45"/>
    <w:rsid w:val="0030222D"/>
    <w:rsid w:val="00314A14"/>
    <w:rsid w:val="003215AF"/>
    <w:rsid w:val="00323DB2"/>
    <w:rsid w:val="00327EB1"/>
    <w:rsid w:val="0033441C"/>
    <w:rsid w:val="00346234"/>
    <w:rsid w:val="00347958"/>
    <w:rsid w:val="003511F5"/>
    <w:rsid w:val="0035523C"/>
    <w:rsid w:val="003558E5"/>
    <w:rsid w:val="0036007E"/>
    <w:rsid w:val="00361082"/>
    <w:rsid w:val="00362B12"/>
    <w:rsid w:val="00363B99"/>
    <w:rsid w:val="00363CC5"/>
    <w:rsid w:val="00377C79"/>
    <w:rsid w:val="0038036B"/>
    <w:rsid w:val="003826C4"/>
    <w:rsid w:val="00392146"/>
    <w:rsid w:val="00392FEB"/>
    <w:rsid w:val="00395395"/>
    <w:rsid w:val="0039767E"/>
    <w:rsid w:val="003A05A2"/>
    <w:rsid w:val="003A2C95"/>
    <w:rsid w:val="003A52B5"/>
    <w:rsid w:val="003A5977"/>
    <w:rsid w:val="003A7E1D"/>
    <w:rsid w:val="003C58EB"/>
    <w:rsid w:val="003E110C"/>
    <w:rsid w:val="003E335E"/>
    <w:rsid w:val="003F1F23"/>
    <w:rsid w:val="003F6FD7"/>
    <w:rsid w:val="004016E3"/>
    <w:rsid w:val="00401F83"/>
    <w:rsid w:val="0040666C"/>
    <w:rsid w:val="00406AA0"/>
    <w:rsid w:val="00411ABC"/>
    <w:rsid w:val="00415402"/>
    <w:rsid w:val="004157DA"/>
    <w:rsid w:val="004162AD"/>
    <w:rsid w:val="00422736"/>
    <w:rsid w:val="00425758"/>
    <w:rsid w:val="004273AB"/>
    <w:rsid w:val="004308B3"/>
    <w:rsid w:val="00437721"/>
    <w:rsid w:val="0046095E"/>
    <w:rsid w:val="00462E04"/>
    <w:rsid w:val="0046389B"/>
    <w:rsid w:val="0046392F"/>
    <w:rsid w:val="00464F13"/>
    <w:rsid w:val="0046693C"/>
    <w:rsid w:val="004729EE"/>
    <w:rsid w:val="004840E6"/>
    <w:rsid w:val="00486105"/>
    <w:rsid w:val="0049125C"/>
    <w:rsid w:val="004A5036"/>
    <w:rsid w:val="004B0B13"/>
    <w:rsid w:val="004B7524"/>
    <w:rsid w:val="004C680D"/>
    <w:rsid w:val="004D0E7D"/>
    <w:rsid w:val="004D28DC"/>
    <w:rsid w:val="004D2E4E"/>
    <w:rsid w:val="004D58E8"/>
    <w:rsid w:val="004D6576"/>
    <w:rsid w:val="004E485E"/>
    <w:rsid w:val="004F107B"/>
    <w:rsid w:val="004F207F"/>
    <w:rsid w:val="004F37B7"/>
    <w:rsid w:val="004F4CD2"/>
    <w:rsid w:val="004F5B41"/>
    <w:rsid w:val="004F69BB"/>
    <w:rsid w:val="0050209A"/>
    <w:rsid w:val="005115C0"/>
    <w:rsid w:val="00511DAB"/>
    <w:rsid w:val="00516117"/>
    <w:rsid w:val="0052551C"/>
    <w:rsid w:val="005626E8"/>
    <w:rsid w:val="00563353"/>
    <w:rsid w:val="0056687D"/>
    <w:rsid w:val="005710C1"/>
    <w:rsid w:val="0057549D"/>
    <w:rsid w:val="00584076"/>
    <w:rsid w:val="005900AC"/>
    <w:rsid w:val="00593757"/>
    <w:rsid w:val="00593E84"/>
    <w:rsid w:val="005A48B1"/>
    <w:rsid w:val="005A71ED"/>
    <w:rsid w:val="005A7606"/>
    <w:rsid w:val="005C4EE0"/>
    <w:rsid w:val="005C7184"/>
    <w:rsid w:val="005D0E20"/>
    <w:rsid w:val="005D1DC7"/>
    <w:rsid w:val="005D4049"/>
    <w:rsid w:val="005D48F6"/>
    <w:rsid w:val="005E00E8"/>
    <w:rsid w:val="005F1359"/>
    <w:rsid w:val="005F1C79"/>
    <w:rsid w:val="0060019F"/>
    <w:rsid w:val="006010C6"/>
    <w:rsid w:val="006100ED"/>
    <w:rsid w:val="00611C8E"/>
    <w:rsid w:val="006160AD"/>
    <w:rsid w:val="00617B38"/>
    <w:rsid w:val="006200F3"/>
    <w:rsid w:val="00620655"/>
    <w:rsid w:val="00622A52"/>
    <w:rsid w:val="00632D07"/>
    <w:rsid w:val="00633095"/>
    <w:rsid w:val="00634828"/>
    <w:rsid w:val="00636877"/>
    <w:rsid w:val="006513AA"/>
    <w:rsid w:val="00657C3E"/>
    <w:rsid w:val="00663CFF"/>
    <w:rsid w:val="00665F32"/>
    <w:rsid w:val="0066674D"/>
    <w:rsid w:val="00672268"/>
    <w:rsid w:val="0068218A"/>
    <w:rsid w:val="00683C56"/>
    <w:rsid w:val="00690CC7"/>
    <w:rsid w:val="006961BC"/>
    <w:rsid w:val="006A3899"/>
    <w:rsid w:val="006B7F1F"/>
    <w:rsid w:val="006C1B39"/>
    <w:rsid w:val="006C496C"/>
    <w:rsid w:val="006D3D3B"/>
    <w:rsid w:val="006E4D93"/>
    <w:rsid w:val="006E55A0"/>
    <w:rsid w:val="006F20E3"/>
    <w:rsid w:val="006F4F3B"/>
    <w:rsid w:val="007052D6"/>
    <w:rsid w:val="00707235"/>
    <w:rsid w:val="00711047"/>
    <w:rsid w:val="007116C6"/>
    <w:rsid w:val="00712B04"/>
    <w:rsid w:val="007149BD"/>
    <w:rsid w:val="0071722D"/>
    <w:rsid w:val="007223F1"/>
    <w:rsid w:val="007226DB"/>
    <w:rsid w:val="0072609A"/>
    <w:rsid w:val="00727126"/>
    <w:rsid w:val="007304B5"/>
    <w:rsid w:val="007315B3"/>
    <w:rsid w:val="00731C70"/>
    <w:rsid w:val="00734C81"/>
    <w:rsid w:val="00735DCB"/>
    <w:rsid w:val="00736AC5"/>
    <w:rsid w:val="0075001E"/>
    <w:rsid w:val="00760817"/>
    <w:rsid w:val="00761C47"/>
    <w:rsid w:val="007663CF"/>
    <w:rsid w:val="00771FA1"/>
    <w:rsid w:val="00773FDE"/>
    <w:rsid w:val="0077500B"/>
    <w:rsid w:val="00777FF7"/>
    <w:rsid w:val="007828FB"/>
    <w:rsid w:val="007832A7"/>
    <w:rsid w:val="00787100"/>
    <w:rsid w:val="007872D0"/>
    <w:rsid w:val="007955AA"/>
    <w:rsid w:val="007A13D9"/>
    <w:rsid w:val="007A4973"/>
    <w:rsid w:val="007A54C6"/>
    <w:rsid w:val="007C1560"/>
    <w:rsid w:val="007C47E0"/>
    <w:rsid w:val="007C7DA8"/>
    <w:rsid w:val="007D1664"/>
    <w:rsid w:val="007D320D"/>
    <w:rsid w:val="007D5DB6"/>
    <w:rsid w:val="007D7030"/>
    <w:rsid w:val="007E1152"/>
    <w:rsid w:val="007E4167"/>
    <w:rsid w:val="007E56E3"/>
    <w:rsid w:val="007F1071"/>
    <w:rsid w:val="007F204A"/>
    <w:rsid w:val="007F4F25"/>
    <w:rsid w:val="00803352"/>
    <w:rsid w:val="008041C4"/>
    <w:rsid w:val="00805C33"/>
    <w:rsid w:val="0080718B"/>
    <w:rsid w:val="00815279"/>
    <w:rsid w:val="00815A5A"/>
    <w:rsid w:val="0081751A"/>
    <w:rsid w:val="00817CEB"/>
    <w:rsid w:val="00817F1A"/>
    <w:rsid w:val="008275FA"/>
    <w:rsid w:val="00827693"/>
    <w:rsid w:val="00830868"/>
    <w:rsid w:val="00845503"/>
    <w:rsid w:val="00846950"/>
    <w:rsid w:val="00851992"/>
    <w:rsid w:val="00851B9E"/>
    <w:rsid w:val="00852ED2"/>
    <w:rsid w:val="008578C1"/>
    <w:rsid w:val="00861A74"/>
    <w:rsid w:val="0087175D"/>
    <w:rsid w:val="00873571"/>
    <w:rsid w:val="008776AE"/>
    <w:rsid w:val="00892B44"/>
    <w:rsid w:val="00892DB9"/>
    <w:rsid w:val="008A304F"/>
    <w:rsid w:val="008B25E6"/>
    <w:rsid w:val="008B33F5"/>
    <w:rsid w:val="008C07DE"/>
    <w:rsid w:val="008C54FD"/>
    <w:rsid w:val="008D241A"/>
    <w:rsid w:val="008D2E24"/>
    <w:rsid w:val="008E0387"/>
    <w:rsid w:val="008E15FB"/>
    <w:rsid w:val="008F49CE"/>
    <w:rsid w:val="00905663"/>
    <w:rsid w:val="00913199"/>
    <w:rsid w:val="009239C2"/>
    <w:rsid w:val="00931D59"/>
    <w:rsid w:val="00946A01"/>
    <w:rsid w:val="00953554"/>
    <w:rsid w:val="009539B0"/>
    <w:rsid w:val="00955FF4"/>
    <w:rsid w:val="00956519"/>
    <w:rsid w:val="009612B2"/>
    <w:rsid w:val="00964B26"/>
    <w:rsid w:val="00965DF5"/>
    <w:rsid w:val="00985BD2"/>
    <w:rsid w:val="009910B0"/>
    <w:rsid w:val="009941FC"/>
    <w:rsid w:val="00996CDD"/>
    <w:rsid w:val="00997702"/>
    <w:rsid w:val="009A2E85"/>
    <w:rsid w:val="009A4E4B"/>
    <w:rsid w:val="009B066E"/>
    <w:rsid w:val="009B1C0C"/>
    <w:rsid w:val="009B24CF"/>
    <w:rsid w:val="009B44A6"/>
    <w:rsid w:val="009B4BF0"/>
    <w:rsid w:val="009B74A3"/>
    <w:rsid w:val="009C14AB"/>
    <w:rsid w:val="009C1E56"/>
    <w:rsid w:val="009C1EE6"/>
    <w:rsid w:val="009C46ED"/>
    <w:rsid w:val="009C526D"/>
    <w:rsid w:val="009C6A7B"/>
    <w:rsid w:val="009D7ABF"/>
    <w:rsid w:val="009E2326"/>
    <w:rsid w:val="009F2B61"/>
    <w:rsid w:val="009F3006"/>
    <w:rsid w:val="00A03414"/>
    <w:rsid w:val="00A05409"/>
    <w:rsid w:val="00A21279"/>
    <w:rsid w:val="00A230C8"/>
    <w:rsid w:val="00A303F6"/>
    <w:rsid w:val="00A34B6C"/>
    <w:rsid w:val="00A37DD8"/>
    <w:rsid w:val="00A41E69"/>
    <w:rsid w:val="00A437D3"/>
    <w:rsid w:val="00A50A68"/>
    <w:rsid w:val="00A51B5B"/>
    <w:rsid w:val="00A527B2"/>
    <w:rsid w:val="00A538A7"/>
    <w:rsid w:val="00A63797"/>
    <w:rsid w:val="00A70F21"/>
    <w:rsid w:val="00A73818"/>
    <w:rsid w:val="00A75D20"/>
    <w:rsid w:val="00A77522"/>
    <w:rsid w:val="00A841F8"/>
    <w:rsid w:val="00A85A74"/>
    <w:rsid w:val="00A9049A"/>
    <w:rsid w:val="00A94234"/>
    <w:rsid w:val="00A9715C"/>
    <w:rsid w:val="00A97941"/>
    <w:rsid w:val="00AA001B"/>
    <w:rsid w:val="00AA0451"/>
    <w:rsid w:val="00AA46FE"/>
    <w:rsid w:val="00AB33C4"/>
    <w:rsid w:val="00AB6E10"/>
    <w:rsid w:val="00AC099A"/>
    <w:rsid w:val="00AC1590"/>
    <w:rsid w:val="00AC38E4"/>
    <w:rsid w:val="00AD1603"/>
    <w:rsid w:val="00AD1795"/>
    <w:rsid w:val="00AD1E4F"/>
    <w:rsid w:val="00AD4F36"/>
    <w:rsid w:val="00AE2007"/>
    <w:rsid w:val="00AE5FA8"/>
    <w:rsid w:val="00AF1870"/>
    <w:rsid w:val="00AF1D71"/>
    <w:rsid w:val="00AF41D1"/>
    <w:rsid w:val="00B004A1"/>
    <w:rsid w:val="00B04A2A"/>
    <w:rsid w:val="00B07D4C"/>
    <w:rsid w:val="00B14426"/>
    <w:rsid w:val="00B203B3"/>
    <w:rsid w:val="00B24ABE"/>
    <w:rsid w:val="00B2659E"/>
    <w:rsid w:val="00B268F4"/>
    <w:rsid w:val="00B36327"/>
    <w:rsid w:val="00B406B2"/>
    <w:rsid w:val="00B454DB"/>
    <w:rsid w:val="00B477FC"/>
    <w:rsid w:val="00B52863"/>
    <w:rsid w:val="00B65DDD"/>
    <w:rsid w:val="00B707EE"/>
    <w:rsid w:val="00B76B66"/>
    <w:rsid w:val="00B862F8"/>
    <w:rsid w:val="00B91D0C"/>
    <w:rsid w:val="00BA05B0"/>
    <w:rsid w:val="00BA148C"/>
    <w:rsid w:val="00BB0BB5"/>
    <w:rsid w:val="00BB0BF2"/>
    <w:rsid w:val="00BB3ECE"/>
    <w:rsid w:val="00BB65D5"/>
    <w:rsid w:val="00BC7583"/>
    <w:rsid w:val="00BD20D0"/>
    <w:rsid w:val="00BD3A11"/>
    <w:rsid w:val="00BD4D0E"/>
    <w:rsid w:val="00BD77CC"/>
    <w:rsid w:val="00BE266A"/>
    <w:rsid w:val="00BE73CC"/>
    <w:rsid w:val="00BF0505"/>
    <w:rsid w:val="00BF1834"/>
    <w:rsid w:val="00BF2AD9"/>
    <w:rsid w:val="00BF461E"/>
    <w:rsid w:val="00BF7143"/>
    <w:rsid w:val="00C00AA1"/>
    <w:rsid w:val="00C021F3"/>
    <w:rsid w:val="00C0397C"/>
    <w:rsid w:val="00C0428F"/>
    <w:rsid w:val="00C078E6"/>
    <w:rsid w:val="00C10289"/>
    <w:rsid w:val="00C15B9D"/>
    <w:rsid w:val="00C22DAF"/>
    <w:rsid w:val="00C22E65"/>
    <w:rsid w:val="00C31C0C"/>
    <w:rsid w:val="00C35E85"/>
    <w:rsid w:val="00C40EAB"/>
    <w:rsid w:val="00C44916"/>
    <w:rsid w:val="00C46B1D"/>
    <w:rsid w:val="00C50540"/>
    <w:rsid w:val="00C54387"/>
    <w:rsid w:val="00C551D5"/>
    <w:rsid w:val="00C5625C"/>
    <w:rsid w:val="00C57B92"/>
    <w:rsid w:val="00C628D5"/>
    <w:rsid w:val="00C718DF"/>
    <w:rsid w:val="00C73310"/>
    <w:rsid w:val="00C8447F"/>
    <w:rsid w:val="00C907F8"/>
    <w:rsid w:val="00C9128B"/>
    <w:rsid w:val="00CA56EB"/>
    <w:rsid w:val="00CA7921"/>
    <w:rsid w:val="00CB6E42"/>
    <w:rsid w:val="00CC251C"/>
    <w:rsid w:val="00CC304D"/>
    <w:rsid w:val="00CC3C47"/>
    <w:rsid w:val="00CC79F2"/>
    <w:rsid w:val="00CD0320"/>
    <w:rsid w:val="00CD1A2F"/>
    <w:rsid w:val="00CD3F1E"/>
    <w:rsid w:val="00CE04AC"/>
    <w:rsid w:val="00CE12E1"/>
    <w:rsid w:val="00CE5814"/>
    <w:rsid w:val="00CE7E19"/>
    <w:rsid w:val="00CF0BC8"/>
    <w:rsid w:val="00CF1458"/>
    <w:rsid w:val="00CF54AA"/>
    <w:rsid w:val="00D01205"/>
    <w:rsid w:val="00D0213F"/>
    <w:rsid w:val="00D06243"/>
    <w:rsid w:val="00D07DD8"/>
    <w:rsid w:val="00D13995"/>
    <w:rsid w:val="00D2193D"/>
    <w:rsid w:val="00D21CD3"/>
    <w:rsid w:val="00D327F0"/>
    <w:rsid w:val="00D32B3B"/>
    <w:rsid w:val="00D406A8"/>
    <w:rsid w:val="00D434C4"/>
    <w:rsid w:val="00D51EEA"/>
    <w:rsid w:val="00D579F8"/>
    <w:rsid w:val="00D80C3E"/>
    <w:rsid w:val="00D81B4A"/>
    <w:rsid w:val="00D83720"/>
    <w:rsid w:val="00D95343"/>
    <w:rsid w:val="00D970D7"/>
    <w:rsid w:val="00DA103B"/>
    <w:rsid w:val="00DA4BC7"/>
    <w:rsid w:val="00DA6C1B"/>
    <w:rsid w:val="00DB017D"/>
    <w:rsid w:val="00DC044B"/>
    <w:rsid w:val="00DC7A22"/>
    <w:rsid w:val="00DD169D"/>
    <w:rsid w:val="00DD1EC0"/>
    <w:rsid w:val="00DD450B"/>
    <w:rsid w:val="00DD7C29"/>
    <w:rsid w:val="00DE657B"/>
    <w:rsid w:val="00DE72E8"/>
    <w:rsid w:val="00DF7E7D"/>
    <w:rsid w:val="00DF7FF2"/>
    <w:rsid w:val="00E0212E"/>
    <w:rsid w:val="00E02A6D"/>
    <w:rsid w:val="00E108F4"/>
    <w:rsid w:val="00E112AF"/>
    <w:rsid w:val="00E14CD5"/>
    <w:rsid w:val="00E21C0A"/>
    <w:rsid w:val="00E364B0"/>
    <w:rsid w:val="00E41C51"/>
    <w:rsid w:val="00E43291"/>
    <w:rsid w:val="00E44574"/>
    <w:rsid w:val="00E447FA"/>
    <w:rsid w:val="00E5135C"/>
    <w:rsid w:val="00E54BEC"/>
    <w:rsid w:val="00E559E4"/>
    <w:rsid w:val="00E55A71"/>
    <w:rsid w:val="00E55F04"/>
    <w:rsid w:val="00E56299"/>
    <w:rsid w:val="00E61946"/>
    <w:rsid w:val="00E64C6E"/>
    <w:rsid w:val="00E668C0"/>
    <w:rsid w:val="00E733CC"/>
    <w:rsid w:val="00E76796"/>
    <w:rsid w:val="00E76C28"/>
    <w:rsid w:val="00E91C9B"/>
    <w:rsid w:val="00E927C5"/>
    <w:rsid w:val="00E94D67"/>
    <w:rsid w:val="00EA1EC1"/>
    <w:rsid w:val="00EA37A2"/>
    <w:rsid w:val="00EB42D6"/>
    <w:rsid w:val="00EB489F"/>
    <w:rsid w:val="00EB5317"/>
    <w:rsid w:val="00EC2118"/>
    <w:rsid w:val="00EC4A8F"/>
    <w:rsid w:val="00EC51F5"/>
    <w:rsid w:val="00EC57CD"/>
    <w:rsid w:val="00ED79E7"/>
    <w:rsid w:val="00EE2836"/>
    <w:rsid w:val="00EF5F94"/>
    <w:rsid w:val="00F02F70"/>
    <w:rsid w:val="00F04275"/>
    <w:rsid w:val="00F042F3"/>
    <w:rsid w:val="00F114EC"/>
    <w:rsid w:val="00F203A8"/>
    <w:rsid w:val="00F21603"/>
    <w:rsid w:val="00F230E8"/>
    <w:rsid w:val="00F272A4"/>
    <w:rsid w:val="00F313B3"/>
    <w:rsid w:val="00F34ABB"/>
    <w:rsid w:val="00F36CBA"/>
    <w:rsid w:val="00F463EB"/>
    <w:rsid w:val="00F511E5"/>
    <w:rsid w:val="00F51AC6"/>
    <w:rsid w:val="00F53893"/>
    <w:rsid w:val="00F566E1"/>
    <w:rsid w:val="00F67BCC"/>
    <w:rsid w:val="00F7453A"/>
    <w:rsid w:val="00F756A2"/>
    <w:rsid w:val="00F770B9"/>
    <w:rsid w:val="00F8097A"/>
    <w:rsid w:val="00F82F8B"/>
    <w:rsid w:val="00F83E43"/>
    <w:rsid w:val="00F848EF"/>
    <w:rsid w:val="00F868ED"/>
    <w:rsid w:val="00F90515"/>
    <w:rsid w:val="00F9486C"/>
    <w:rsid w:val="00FA2238"/>
    <w:rsid w:val="00FA6F30"/>
    <w:rsid w:val="00FB3638"/>
    <w:rsid w:val="00FB7C06"/>
    <w:rsid w:val="00FD2056"/>
    <w:rsid w:val="00FD346E"/>
    <w:rsid w:val="00FE5E1B"/>
    <w:rsid w:val="00FE73F3"/>
    <w:rsid w:val="00FF1B04"/>
    <w:rsid w:val="00FF2302"/>
    <w:rsid w:val="00FF26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0DD4"/>
  <w15:chartTrackingRefBased/>
  <w15:docId w15:val="{36430589-7FEE-2B49-88E2-40DB2971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4F207F"/>
    <w:rPr>
      <w:rFonts w:eastAsiaTheme="minorEastAsia"/>
      <w:sz w:val="22"/>
      <w:szCs w:val="22"/>
      <w:lang w:val="en-US" w:eastAsia="zh-CN"/>
    </w:rPr>
  </w:style>
  <w:style w:type="character" w:customStyle="1" w:styleId="KeinLeerraumZchn">
    <w:name w:val="Kein Leerraum Zchn"/>
    <w:basedOn w:val="Absatz-Standardschriftart"/>
    <w:link w:val="KeinLeerraum"/>
    <w:uiPriority w:val="1"/>
    <w:rsid w:val="004F207F"/>
    <w:rPr>
      <w:rFonts w:eastAsiaTheme="minorEastAsia"/>
      <w:sz w:val="22"/>
      <w:szCs w:val="22"/>
      <w:lang w:val="en-US" w:eastAsia="zh-CN"/>
    </w:rPr>
  </w:style>
  <w:style w:type="paragraph" w:styleId="Kommentartext">
    <w:name w:val="annotation text"/>
    <w:basedOn w:val="Standard"/>
    <w:link w:val="KommentartextZchn"/>
    <w:uiPriority w:val="99"/>
    <w:unhideWhenUsed/>
    <w:rsid w:val="00CD1A2F"/>
    <w:pPr>
      <w:tabs>
        <w:tab w:val="right" w:leader="dot" w:pos="9072"/>
      </w:tabs>
      <w:spacing w:after="120"/>
      <w:jc w:val="both"/>
    </w:pPr>
    <w:rPr>
      <w:rFonts w:ascii="Times New Roman" w:eastAsia="Calibri" w:hAnsi="Times New Roman" w:cs="Times New Roman"/>
      <w:sz w:val="20"/>
      <w:szCs w:val="20"/>
      <w:lang w:val="en-US"/>
    </w:rPr>
  </w:style>
  <w:style w:type="character" w:customStyle="1" w:styleId="KommentartextZchn">
    <w:name w:val="Kommentartext Zchn"/>
    <w:basedOn w:val="Absatz-Standardschriftart"/>
    <w:link w:val="Kommentartext"/>
    <w:uiPriority w:val="99"/>
    <w:rsid w:val="00CD1A2F"/>
    <w:rPr>
      <w:rFonts w:ascii="Times New Roman" w:eastAsia="Calibri" w:hAnsi="Times New Roman" w:cs="Times New Roman"/>
      <w:sz w:val="20"/>
      <w:szCs w:val="20"/>
      <w:lang w:val="en-US"/>
    </w:rPr>
  </w:style>
  <w:style w:type="paragraph" w:customStyle="1" w:styleId="Normal1">
    <w:name w:val="Normal1"/>
    <w:rsid w:val="009C6A7B"/>
    <w:pPr>
      <w:spacing w:line="276" w:lineRule="auto"/>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4728">
      <w:bodyDiv w:val="1"/>
      <w:marLeft w:val="0"/>
      <w:marRight w:val="0"/>
      <w:marTop w:val="0"/>
      <w:marBottom w:val="0"/>
      <w:divBdr>
        <w:top w:val="none" w:sz="0" w:space="0" w:color="auto"/>
        <w:left w:val="none" w:sz="0" w:space="0" w:color="auto"/>
        <w:bottom w:val="none" w:sz="0" w:space="0" w:color="auto"/>
        <w:right w:val="none" w:sz="0" w:space="0" w:color="auto"/>
      </w:divBdr>
    </w:div>
    <w:div w:id="14397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1C9A-BE32-E74A-BEEF-C2F6CE23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5250</Words>
  <Characters>33076</Characters>
  <Application>Microsoft Office Word</Application>
  <DocSecurity>0</DocSecurity>
  <Lines>275</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Yaltir</dc:creator>
  <cp:keywords/>
  <dc:description/>
  <cp:lastModifiedBy>Caroline Kunesch</cp:lastModifiedBy>
  <cp:revision>2</cp:revision>
  <dcterms:created xsi:type="dcterms:W3CDTF">2021-07-12T10:18:00Z</dcterms:created>
  <dcterms:modified xsi:type="dcterms:W3CDTF">2021-07-12T10:18:00Z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8f5403ec-9912-3a99-a652-399528de3813</vt:lpwstr>
  </property>
  <property fmtid="{D5CDD505-2E9C-101B-9397-08002B2CF9AE}" pid="24" name="Mendeley Citation Style_1">
    <vt:lpwstr>http://www.zotero.org/styles/apa</vt:lpwstr>
  </property>
</Properties>
</file>